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業務内容別の進捗（令和8年8月26日現在）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65％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＋35pt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＋75pt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85％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＋45pt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78％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＋58pt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70％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＋40pt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65％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＋25pt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15％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＋15pt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45％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＋35pt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60％</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