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小野町高齢者保健福祉計画・第10期介護保険事業計画</w:t>
      </w:r>
    </w:p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単価の置き方の感度分析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令和8年10月5日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受託者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1　要点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2">
        <w:r>
          <w:rPr>
            <w:rFonts w:ascii="游ゴシック" w:hAnsi="游ゴシック" w:eastAsia="游ゴシック"/>
            <w:b/>
            <w:sz w:val="22"/>
          </w:rPr>
          <w:t xml:space="preserve">2　単価の趨勢をどう測ったか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3　この幅をどう扱うか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要点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本計画は、サービスの単価を令和7年度で固定して見込量を組んでいます。</w:t>
      </w:r>
      <w:r>
        <w:rPr>
          <w:rFonts w:ascii="游ゴシック" w:hAnsi="游ゴシック" w:eastAsia="游ゴシック"/>
          <w:b w:val="0"/>
          <w:i w:val="0"/>
          <w:sz w:val="21"/>
        </w:rPr>
        <w:t>報酬改定率が示されていないためで、置き方としては筋が通っています。</w:t>
      </w:r>
      <w:r>
        <w:rPr>
          <w:rFonts w:ascii="游ゴシック" w:hAnsi="游ゴシック" w:eastAsia="游ゴシック"/>
          <w:b/>
          <w:i w:val="0"/>
          <w:sz w:val="21"/>
        </w:rPr>
        <w:t>ただし固定は過小側の置き方です。</w:t>
      </w:r>
      <w:r>
        <w:rPr>
          <w:rFonts w:ascii="游ゴシック" w:hAnsi="游ゴシック" w:eastAsia="游ゴシック"/>
          <w:b w:val="0"/>
          <w:i w:val="0"/>
          <w:sz w:val="21"/>
        </w:rPr>
        <w:t>単価は報酬改定のない年にも上がっており、固定したままだと給付費を少なく見込むことになります。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構成の変化を除いた価格は、令和3年度から令和7年度まで年率+1.13％で上がっています。</w:t>
      </w:r>
      <w:r>
        <w:rPr>
          <w:rFonts w:ascii="游ゴシック" w:hAnsi="游ゴシック" w:eastAsia="游ゴシック"/>
          <w:b w:val="0"/>
          <w:i w:val="0"/>
          <w:sz w:val="21"/>
        </w:rPr>
        <w:t>報酬改定のあった令和6年度は+1.25％、改定のなかった年の平均は+1.09％で、</w:t>
      </w:r>
      <w:r>
        <w:rPr>
          <w:rFonts w:ascii="游ゴシック" w:hAnsi="游ゴシック" w:eastAsia="游ゴシック"/>
          <w:b/>
          <w:i w:val="0"/>
          <w:sz w:val="21"/>
        </w:rPr>
        <w:t>改定の有無で大きな差はありません。</w:t>
      </w:r>
      <w:r>
        <w:rPr>
          <w:rFonts w:ascii="游ゴシック" w:hAnsi="游ゴシック" w:eastAsia="游ゴシック"/>
          <w:b/>
          <w:i w:val="0"/>
          <w:sz w:val="21"/>
        </w:rPr>
        <w:t>改定率が0％でも、単価は上がるとみておく必要があります。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この趨勢で単価を伸ばすと、保険料基準額は月額6,048円から6,243円へ、+195円動きます。</w:t>
      </w:r>
      <w:r>
        <w:rPr>
          <w:rFonts w:ascii="游ゴシック" w:hAnsi="游ゴシック" w:eastAsia="游ゴシック"/>
          <w:b w:val="0"/>
          <w:i w:val="0"/>
          <w:sz w:val="21"/>
        </w:rPr>
        <w:t>保険料を6,100円とするか6,600円とするか（決定1）をお決めいただく際の幅としてご覧ください。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3175"/>
        <w:gridCol w:w="1247"/>
        <w:gridCol w:w="1928"/>
        <w:gridCol w:w="1814"/>
        <w:gridCol w:w="1587"/>
      </w:tblGrid>
      <w:tr>
        <w:tc>
          <w:tcPr>
            <w:tcW w:type="dxa" w:w="317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単価の置き方</w:t>
            </w:r>
          </w:p>
        </w:tc>
        <w:tc>
          <w:tcPr>
            <w:tcW w:type="dxa" w:w="124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伸び</w:t>
            </w:r>
          </w:p>
        </w:tc>
        <w:tc>
          <w:tcPr>
            <w:tcW w:type="dxa" w:w="19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標準給付費（3年計）</w:t>
            </w:r>
          </w:p>
        </w:tc>
        <w:tc>
          <w:tcPr>
            <w:tcW w:type="dxa" w:w="181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保険料基準額（月額）</w:t>
            </w:r>
          </w:p>
        </w:tc>
        <w:tc>
          <w:tcPr>
            <w:tcW w:type="dxa" w:w="158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本計画との差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本計画（単価を令和7年度で固定）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3,093,948千円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6,048円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価格指数の趨勢で伸ばす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年率+1.13％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3,199,995千円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6,243円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+195円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報酬改定のない年の趨勢で伸ばす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年率+1.09％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3,196,665千円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6,237円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+189円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令和9年度に報酬改定 ＋1％（以後据え置き）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＋1％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3,124,888千円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6,105円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+57円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令和9年度に報酬改定 ＋2％（以後据え置き）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＋2％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3,155,827千円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6,162円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+114円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令和9年度に報酬改定 ＋3％（以後据え置き）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＋3％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3,186,767千円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6,219円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+171円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資料：介護保険事業状況報告（年報）様式2、及び本業務による算定。</w:t>
      </w:r>
      <w:r>
        <w:rPr>
          <w:rFonts w:ascii="游ゴシック" w:hAnsi="游ゴシック" w:eastAsia="游ゴシック"/>
          <w:b/>
          <w:i w:val="0"/>
          <w:sz w:val="17"/>
        </w:rPr>
        <w:t>保険料基準額は100円未満を切り上げる前の値です。</w:t>
      </w:r>
    </w:p>
    <w:p>
      <w:pPr>
        <w:pStyle w:val="Heading1"/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2　単価の趨勢をどう測ったか</w:t>
      </w:r>
      <w:bookmarkEnd w:id="102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全サービスをまとめた平均単価は、価格の動きを表しません。</w:t>
      </w:r>
      <w:r>
        <w:rPr>
          <w:rFonts w:ascii="游ゴシック" w:hAnsi="游ゴシック" w:eastAsia="游ゴシック"/>
          <w:b w:val="0"/>
          <w:i w:val="0"/>
          <w:sz w:val="21"/>
        </w:rPr>
        <w:t>どのサービスが使われたか（構成）の変化に引きずられるためです。</w:t>
      </w:r>
      <w:r>
        <w:rPr>
          <w:rFonts w:ascii="游ゴシック" w:hAnsi="游ゴシック" w:eastAsia="游ゴシック"/>
          <w:b/>
          <w:i w:val="0"/>
          <w:sz w:val="21"/>
        </w:rPr>
        <w:t>令和7年度は平均単価が下がっていますが、これは価格が下がったのではなく、単価の低いサービスの割合が増えたことによります。</w:t>
      </w:r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そこで、</w:t>
      </w:r>
      <w:r>
        <w:rPr>
          <w:rFonts w:ascii="游ゴシック" w:hAnsi="游ゴシック" w:eastAsia="游ゴシック"/>
          <w:b/>
          <w:i w:val="0"/>
          <w:sz w:val="21"/>
        </w:rPr>
        <w:t>サービスの構成を固定した価格指数</w:t>
      </w:r>
      <w:r>
        <w:rPr>
          <w:rFonts w:ascii="游ゴシック" w:hAnsi="游ゴシック" w:eastAsia="游ゴシック"/>
          <w:b w:val="0"/>
          <w:i w:val="0"/>
          <w:sz w:val="21"/>
        </w:rPr>
        <w:t>（ラスパイレス型）で価格だけの動きを取り出します。測り方は2通りあります。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268"/>
        <w:gridCol w:w="3175"/>
        <w:gridCol w:w="1134"/>
        <w:gridCol w:w="3175"/>
      </w:tblGrid>
      <w:tr>
        <w:tc>
          <w:tcPr>
            <w:tcW w:type="dxa" w:w="226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測り方</w:t>
            </w:r>
          </w:p>
        </w:tc>
        <w:tc>
          <w:tcPr>
            <w:tcW w:type="dxa" w:w="317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重みの置き方</w:t>
            </w:r>
          </w:p>
        </w:tc>
        <w:tc>
          <w:tcPr>
            <w:tcW w:type="dxa" w:w="113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年率</w:t>
            </w:r>
          </w:p>
        </w:tc>
        <w:tc>
          <w:tcPr>
            <w:tcW w:type="dxa" w:w="317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本資料での扱い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連鎖ラスパイレス指数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前年の件数構成で固定し、1年ずつつなぐ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+1.129％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本命。構成が年々変わっても重みが古くならない。計画素案の注記もこの値を用いる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基準固定ラスパイレス指数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令和3年度の件数構成で固定したまま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+1.205％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参考。重みが古くなるぶん趨勢がやや高く出るが、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平均単価の動きを価格と構成に分解できる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下の表は、分解を示すために基準固定の指数で作っています。</w:t>
      </w:r>
      <w:r>
        <w:rPr>
          <w:rFonts w:ascii="游ゴシック" w:hAnsi="游ゴシック" w:eastAsia="游ゴシック"/>
          <w:b w:val="0"/>
          <w:i w:val="0"/>
          <w:sz w:val="21"/>
        </w:rPr>
        <w:t>平均単価の動きのうち、価格指数で説明できない分を「構成の変化による分」として分けています。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020"/>
        <w:gridCol w:w="1020"/>
        <w:gridCol w:w="1474"/>
        <w:gridCol w:w="1191"/>
        <w:gridCol w:w="1361"/>
        <w:gridCol w:w="964"/>
        <w:gridCol w:w="1361"/>
        <w:gridCol w:w="1361"/>
      </w:tblGrid>
      <w:tr>
        <w:tc>
          <w:tcPr>
            <w:tcW w:type="dxa" w:w="102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年度</w:t>
            </w:r>
          </w:p>
        </w:tc>
        <w:tc>
          <w:tcPr>
            <w:tcW w:type="dxa" w:w="102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件数</w:t>
            </w:r>
          </w:p>
        </w:tc>
        <w:tc>
          <w:tcPr>
            <w:tcW w:type="dxa" w:w="147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給付費（円）</w:t>
            </w:r>
          </w:p>
        </w:tc>
        <w:tc>
          <w:tcPr>
            <w:tcW w:type="dxa" w:w="119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平均単価（円）</w:t>
            </w:r>
          </w:p>
        </w:tc>
        <w:tc>
          <w:tcPr>
            <w:tcW w:type="dxa" w:w="136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平均単価の前年比</w:t>
            </w:r>
          </w:p>
        </w:tc>
        <w:tc>
          <w:tcPr>
            <w:tcW w:type="dxa" w:w="96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価格指数</w:t>
            </w:r>
          </w:p>
        </w:tc>
        <w:tc>
          <w:tcPr>
            <w:tcW w:type="dxa" w:w="136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価格指数の前年比</w:t>
            </w:r>
          </w:p>
        </w:tc>
        <w:tc>
          <w:tcPr>
            <w:tcW w:type="dxa" w:w="136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うち構成の変化による分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令和3年度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15,427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1,060,705,379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68,756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100.00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令和4年度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14,983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1,022,726,107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68,259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-0.72％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99.89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-0.11％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-0.62％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令和5年度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14,843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1,026,323,851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69,145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+1.30％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102.28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+2.39％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-1.09％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令和6年度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15,151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1,085,998,383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71,678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+3.66％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103.56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+1.24％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+2.42％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令和7年度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14,488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1,005,144,062</w:t>
            </w:r>
          </w:p>
        </w:tc>
        <w:tc>
          <w:tcPr>
            <w:tcW w:type="dxa" w:w="119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69,378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-3.21％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104.91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+1.30％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-4.51％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資料：介護保険事業状況報告（年報）様式2。価格指数は令和3年度＝100。</w:t>
      </w:r>
      <w:r>
        <w:rPr>
          <w:rFonts w:ascii="游ゴシック" w:hAnsi="游ゴシック" w:eastAsia="游ゴシック"/>
          <w:b/>
          <w:i w:val="0"/>
          <w:sz w:val="17"/>
        </w:rPr>
        <w:t>単価＝給付費÷件数。</w:t>
      </w:r>
      <w:r>
        <w:rPr>
          <w:rFonts w:ascii="游ゴシック" w:hAnsi="游ゴシック" w:eastAsia="游ゴシック"/>
          <w:b w:val="0"/>
          <w:i w:val="0"/>
          <w:sz w:val="17"/>
        </w:rPr>
        <w:t>基準年に実績のないサービスは指数に算入していません。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読み取れることが2つあります。</w:t>
      </w:r>
    </w:p>
    <w:p>
      <w:pPr>
        <w:spacing w:before="40" w:after="40"/>
        <w:ind w:left="227"/>
      </w:pPr>
      <w:r>
        <w:rPr>
          <w:rFonts w:ascii="游ゴシック" w:hAnsi="游ゴシック" w:eastAsia="游ゴシック"/>
          <w:b w:val="0"/>
          <w:i w:val="0"/>
          <w:sz w:val="21"/>
        </w:rPr>
        <w:t>・</w:t>
      </w:r>
      <w:r>
        <w:rPr>
          <w:rFonts w:ascii="游ゴシック" w:hAnsi="游ゴシック" w:eastAsia="游ゴシック"/>
          <w:b/>
          <w:i w:val="0"/>
          <w:sz w:val="21"/>
        </w:rPr>
        <w:t>価格は改定の有無によらず上がっています。</w:t>
      </w:r>
      <w:r>
        <w:rPr>
          <w:rFonts w:ascii="游ゴシック" w:hAnsi="游ゴシック" w:eastAsia="游ゴシック"/>
          <w:b w:val="0"/>
          <w:i w:val="0"/>
          <w:sz w:val="21"/>
        </w:rPr>
        <w:t>連鎖指数でみると、報酬改定のあった令和6年度は+1.25％、改定のなかった年の平均は+1.09％で、ほとんど差がありません。</w:t>
      </w:r>
      <w:r>
        <w:rPr>
          <w:rFonts w:ascii="游ゴシック" w:hAnsi="游ゴシック" w:eastAsia="游ゴシック"/>
          <w:b/>
          <w:i w:val="0"/>
          <w:sz w:val="21"/>
        </w:rPr>
        <w:t>改定率が0％でも、単価は上がるとみておく必要があります。</w:t>
      </w:r>
    </w:p>
    <w:p>
      <w:pPr>
        <w:spacing w:before="40" w:after="40"/>
        <w:ind w:left="227"/>
      </w:pPr>
      <w:r>
        <w:rPr>
          <w:rFonts w:ascii="游ゴシック" w:hAnsi="游ゴシック" w:eastAsia="游ゴシック"/>
          <w:b w:val="0"/>
          <w:i w:val="0"/>
          <w:sz w:val="21"/>
        </w:rPr>
        <w:t>・</w:t>
      </w:r>
      <w:r>
        <w:rPr>
          <w:rFonts w:ascii="游ゴシック" w:hAnsi="游ゴシック" w:eastAsia="游ゴシック"/>
          <w:b/>
          <w:i w:val="0"/>
          <w:sz w:val="21"/>
        </w:rPr>
        <w:t>令和7年度の平均単価の下落は、構成の変化によるものです。</w:t>
      </w:r>
      <w:r>
        <w:rPr>
          <w:rFonts w:ascii="游ゴシック" w:hAnsi="游ゴシック" w:eastAsia="游ゴシック"/>
          <w:b w:val="0"/>
          <w:i w:val="0"/>
          <w:sz w:val="21"/>
        </w:rPr>
        <w:t>価格指数は上がっており、価格が下がったわけではありません。</w:t>
      </w:r>
      <w:r>
        <w:rPr>
          <w:rFonts w:ascii="游ゴシック" w:hAnsi="游ゴシック" w:eastAsia="游ゴシック"/>
          <w:b/>
          <w:i w:val="0"/>
          <w:sz w:val="21"/>
        </w:rPr>
        <w:t>平均単価をそのまま将来に延ばすと、構成の変化を価格の変化と取り違えることになります。</w:t>
      </w: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3　この幅をどう扱うか</w:t>
      </w:r>
      <w:bookmarkEnd w:id="103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本計画は引き続き、単価を令和7年度で固定した値を本体とします。</w:t>
      </w:r>
      <w:r>
        <w:rPr>
          <w:rFonts w:ascii="游ゴシック" w:hAnsi="游ゴシック" w:eastAsia="游ゴシック"/>
          <w:b w:val="0"/>
          <w:i w:val="0"/>
          <w:sz w:val="21"/>
        </w:rPr>
        <w:t>報酬改定率が示されていない段階で、当方の見立てで単価を動かすのは適当でないためです。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そのうえで、固定が過小側であることを計画本文に注記します。</w:t>
      </w:r>
      <w:r>
        <w:rPr>
          <w:rFonts w:ascii="游ゴシック" w:hAnsi="游ゴシック" w:eastAsia="游ゴシック"/>
          <w:b w:val="0"/>
          <w:i w:val="0"/>
          <w:sz w:val="21"/>
        </w:rPr>
        <w:t>趨勢で置いた場合に月額+195円動くことを示したうえで、改定率が示された時点で差し替えます。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041"/>
        <w:gridCol w:w="7710"/>
      </w:tblGrid>
      <w:tr>
        <w:tc>
          <w:tcPr>
            <w:tcW w:type="dxa" w:w="204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場面</w:t>
            </w:r>
          </w:p>
        </w:tc>
        <w:tc>
          <w:tcPr>
            <w:tcW w:type="dxa" w:w="771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どう扱うか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協議会（決定1）</w:t>
            </w:r>
          </w:p>
        </w:tc>
        <w:tc>
          <w:tcPr>
            <w:tcW w:type="dxa" w:w="77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保険料基準額の2案（6,100円・6,600円）に加え、単価の置き方で動く幅をあわせてお示しする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計画本文（第6章5）</w:t>
            </w:r>
          </w:p>
        </w:tc>
        <w:tc>
          <w:tcPr>
            <w:tcW w:type="dxa" w:w="77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単価を固定したこと、それが過小側であること、趨勢で置いた場合の差を注記する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報酬改定率が示されたとき</w:t>
            </w:r>
          </w:p>
        </w:tc>
        <w:tc>
          <w:tcPr>
            <w:tcW w:type="dxa" w:w="77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本資料の算式に改定率を入れて差し替える。令和8年12月から令和9年1月に示されるのが通例であり、11月の協議会には間に合わない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成果品②</w:t>
            </w:r>
          </w:p>
        </w:tc>
        <w:tc>
          <w:tcPr>
            <w:tcW w:type="dxa" w:w="771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算定の前提として本資料の内容を収める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小野町 第10期　単価の置き方の感度分析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 第10期　単価の置き方の感度分析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小野町 第10期　単価の置き方の感度分析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