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障がい計画</w:t>
      </w:r>
    </w:p>
    <w:p>
      <w:pPr>
        <w:spacing w:before="360" w:after="120"/>
        <w:jc w:val="center"/>
      </w:pPr>
      <w:r>
        <w:rPr>
          <w:rFonts w:ascii="游ゴシック" w:hAnsi="游ゴシック" w:eastAsia="游ゴシック"/>
          <w:b/>
          <w:i w:val="0"/>
          <w:color w:val="2E74B5"/>
          <w:sz w:val="44"/>
        </w:rPr>
        <w:t>指針との不整合の点検と県計画の反映</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小野町第8期障がい福祉計画・第4期障がい児福祉計画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令和8年10月8日</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本書について</w:t>
      </w:r>
      <w:bookmarkEnd w:id="101"/>
    </w:p>
    <w:p>
      <w:pPr>
        <w:spacing w:before="60" w:after="60"/>
      </w:pPr>
      <w:r>
        <w:rPr>
          <w:rFonts w:ascii="游ゴシック" w:hAnsi="游ゴシック" w:eastAsia="游ゴシック"/>
          <w:b w:val="0"/>
          <w:i w:val="0"/>
          <w:sz w:val="21"/>
        </w:rPr>
        <w:t>他団体の案件で、計画素案の原本と現在の素案を突き合わせて修正履歴を作りました。そこで洗い出した「国・県の指針との不整合」の型を小野町に当て、骨子案 第2版と各成果品の現物を読んで反映状況を調べたものです。他団体の資料や数値は用いていません。</w:t>
      </w:r>
    </w:p>
    <w:p>
      <w:pPr>
        <w:spacing w:before="60" w:after="60"/>
      </w:pPr>
      <w:r>
        <w:rPr>
          <w:rFonts w:ascii="游ゴシック" w:hAnsi="游ゴシック" w:eastAsia="游ゴシック"/>
          <w:b w:val="0"/>
          <w:i w:val="0"/>
          <w:sz w:val="21"/>
        </w:rPr>
        <w:t>あわせて、令和8年10月8日に受領した県計画（第7期福島県障がい福祉計画・第3期障がい児福祉計画、第5次福島県障がい者計画）を原典として確認し、小野町が属する県中障がい保健福祉圏域の計画から本件に効く事実を3章に整理しました。</w:t>
      </w:r>
    </w:p>
    <w:p>
      <w:pPr>
        <w:keepNext/>
        <w:spacing w:before="200" w:after="40"/>
      </w:pPr>
      <w:r>
        <w:rPr>
          <w:rFonts w:ascii="游ゴシック" w:hAnsi="游ゴシック" w:eastAsia="游ゴシック"/>
          <w:b/>
          <w:i w:val="0"/>
          <w:color w:val="1F4D78"/>
          <w:sz w:val="22"/>
        </w:rPr>
        <w:t>【表1】判定の区分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2268"/>
        <w:gridCol w:w="5783"/>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5783"/>
            <w:shd w:val="clear" w:fill="1F3864"/>
            <w:vAlign w:val="center"/>
          </w:tcPr>
          <w:p>
            <w:pPr>
              <w:spacing w:before="20" w:after="20"/>
              <w:jc w:val="center"/>
            </w:pPr>
            <w:r>
              <w:rPr>
                <w:rFonts w:ascii="游ゴシック" w:hAnsi="游ゴシック" w:eastAsia="游ゴシック"/>
                <w:b/>
                <w:i w:val="0"/>
                <w:color w:val="FFFFFF"/>
                <w:sz w:val="17"/>
              </w:rPr>
              <w:t>意味</w:t>
            </w:r>
          </w:p>
        </w:tc>
      </w:tr>
      <w:tr>
        <w:tc>
          <w:tcPr>
            <w:tcW w:type="dxa" w:w="1701"/>
            <w:vAlign w:val="center"/>
          </w:tcPr>
          <w:p>
            <w:pPr>
              <w:spacing w:before="20" w:after="20"/>
            </w:pPr>
            <w:r>
              <w:rPr>
                <w:rFonts w:ascii="游ゴシック" w:hAnsi="游ゴシック" w:eastAsia="游ゴシック"/>
                <w:b w:val="0"/>
                <w:i w:val="0"/>
                <w:sz w:val="17"/>
              </w:rPr>
              <w:t>反映済み</w:t>
            </w:r>
          </w:p>
        </w:tc>
        <w:tc>
          <w:tcPr>
            <w:tcW w:type="dxa" w:w="2268"/>
            <w:vAlign w:val="center"/>
          </w:tcPr>
          <w:p>
            <w:pPr>
              <w:spacing w:before="20" w:after="20"/>
            </w:pPr>
            <w:r>
              <w:rPr>
                <w:rFonts w:ascii="游ゴシック" w:hAnsi="游ゴシック" w:eastAsia="游ゴシック"/>
                <w:b w:val="0"/>
                <w:i w:val="0"/>
                <w:sz w:val="17"/>
              </w:rPr>
              <w:t>反映済み</w:t>
            </w:r>
          </w:p>
        </w:tc>
        <w:tc>
          <w:tcPr>
            <w:tcW w:type="dxa" w:w="5783"/>
            <w:vAlign w:val="center"/>
          </w:tcPr>
          <w:p>
            <w:pPr>
              <w:spacing w:before="20" w:after="20"/>
            </w:pPr>
            <w:r>
              <w:rPr>
                <w:rFonts w:ascii="游ゴシック" w:hAnsi="游ゴシック" w:eastAsia="游ゴシック"/>
                <w:b w:val="0"/>
                <w:i w:val="0"/>
                <w:sz w:val="17"/>
              </w:rPr>
              <w:t>骨子案 第2版に記載がある</w:t>
            </w:r>
          </w:p>
        </w:tc>
      </w:tr>
      <w:tr>
        <w:tc>
          <w:tcPr>
            <w:tcW w:type="dxa" w:w="1701"/>
            <w:vAlign w:val="center"/>
          </w:tcPr>
          <w:p>
            <w:pPr>
              <w:spacing w:before="20" w:after="20"/>
            </w:pPr>
            <w:r>
              <w:rPr>
                <w:rFonts w:ascii="游ゴシック" w:hAnsi="游ゴシック" w:eastAsia="游ゴシック"/>
                <w:b w:val="0"/>
                <w:i w:val="0"/>
                <w:sz w:val="17"/>
              </w:rPr>
              <w:t>指摘済み・未反映</w:t>
            </w:r>
          </w:p>
        </w:tc>
        <w:tc>
          <w:tcPr>
            <w:tcW w:type="dxa" w:w="2268"/>
            <w:vAlign w:val="center"/>
          </w:tcPr>
          <w:p>
            <w:pPr>
              <w:spacing w:before="20" w:after="20"/>
            </w:pPr>
            <w:r>
              <w:rPr>
                <w:rFonts w:ascii="游ゴシック" w:hAnsi="游ゴシック" w:eastAsia="游ゴシック"/>
                <w:b w:val="0"/>
                <w:i w:val="0"/>
                <w:sz w:val="17"/>
              </w:rPr>
              <w:t>指摘済み・未反映</w:t>
            </w:r>
          </w:p>
        </w:tc>
        <w:tc>
          <w:tcPr>
            <w:tcW w:type="dxa" w:w="5783"/>
            <w:vAlign w:val="center"/>
          </w:tcPr>
          <w:p>
            <w:pPr>
              <w:spacing w:before="20" w:after="20"/>
            </w:pPr>
            <w:r>
              <w:rPr>
                <w:rFonts w:ascii="游ゴシック" w:hAnsi="游ゴシック" w:eastAsia="游ゴシック"/>
                <w:b w:val="0"/>
                <w:i w:val="0"/>
                <w:sz w:val="17"/>
              </w:rPr>
              <w:t>当方の成果品（国の動向の反映と手順の乖離ほか）で指摘しているが、骨子案には入っていない</w:t>
            </w:r>
          </w:p>
        </w:tc>
      </w:tr>
      <w:tr>
        <w:tc>
          <w:tcPr>
            <w:tcW w:type="dxa" w:w="1701"/>
            <w:vAlign w:val="center"/>
          </w:tcPr>
          <w:p>
            <w:pPr>
              <w:spacing w:before="20" w:after="20"/>
            </w:pPr>
            <w:r>
              <w:rPr>
                <w:rFonts w:ascii="游ゴシック" w:hAnsi="游ゴシック" w:eastAsia="游ゴシック"/>
                <w:b w:val="0"/>
                <w:i w:val="0"/>
                <w:sz w:val="17"/>
              </w:rPr>
              <w:t>未着手</w:t>
            </w:r>
          </w:p>
        </w:tc>
        <w:tc>
          <w:tcPr>
            <w:tcW w:type="dxa" w:w="2268"/>
            <w:vAlign w:val="center"/>
          </w:tcPr>
          <w:p>
            <w:pPr>
              <w:spacing w:before="20" w:after="20"/>
            </w:pPr>
            <w:r>
              <w:rPr>
                <w:rFonts w:ascii="游ゴシック" w:hAnsi="游ゴシック" w:eastAsia="游ゴシック"/>
                <w:b w:val="0"/>
                <w:i w:val="0"/>
                <w:sz w:val="17"/>
              </w:rPr>
              <w:t>未着手</w:t>
            </w:r>
          </w:p>
        </w:tc>
        <w:tc>
          <w:tcPr>
            <w:tcW w:type="dxa" w:w="5783"/>
            <w:vAlign w:val="center"/>
          </w:tcPr>
          <w:p>
            <w:pPr>
              <w:spacing w:before="20" w:after="20"/>
            </w:pPr>
            <w:r>
              <w:rPr>
                <w:rFonts w:ascii="游ゴシック" w:hAnsi="游ゴシック" w:eastAsia="游ゴシック"/>
                <w:b w:val="0"/>
                <w:i w:val="0"/>
                <w:sz w:val="17"/>
              </w:rPr>
              <w:t>骨子案にも当方の成果品にも現れない</w:t>
            </w:r>
          </w:p>
        </w:tc>
      </w:tr>
    </w:tbl>
    <w:p>
      <w:pPr>
        <w:spacing w:after="40"/>
      </w:pPr>
    </w:p>
    <w:p>
      <w:pPr>
        <w:pStyle w:val="Heading1"/>
        <w:keepNext/>
        <w:spacing w:before="240" w:after="100"/>
      </w:pPr>
      <w:bookmarkStart w:id="102" w:name="_Toc_002"/>
      <w:r>
        <w:rPr>
          <w:rFonts w:ascii="游ゴシック" w:hAnsi="游ゴシック" w:eastAsia="游ゴシック"/>
          <w:b/>
          <w:i w:val="0"/>
          <w:color w:val="2E74B5"/>
          <w:sz w:val="30"/>
        </w:rPr>
        <w:t>1　反映状況</w:t>
      </w:r>
      <w:bookmarkEnd w:id="102"/>
    </w:p>
    <w:p>
      <w:pPr>
        <w:keepNext/>
        <w:spacing w:before="200" w:after="40"/>
      </w:pPr>
      <w:r>
        <w:rPr>
          <w:rFonts w:ascii="游ゴシック" w:hAnsi="游ゴシック" w:eastAsia="游ゴシック"/>
          <w:b/>
          <w:i w:val="0"/>
          <w:color w:val="1F4D78"/>
          <w:sz w:val="22"/>
        </w:rPr>
        <w:t>【表2】指針との不整合の点検結果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907"/>
        <w:gridCol w:w="2608"/>
        <w:gridCol w:w="1928"/>
        <w:gridCol w:w="1247"/>
        <w:gridCol w:w="2381"/>
      </w:tblGrid>
      <w:tr>
        <w:tc>
          <w:tcPr>
            <w:tcW w:type="dxa" w:w="680"/>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素案での置き場所</w:t>
            </w:r>
          </w:p>
        </w:tc>
      </w:tr>
      <w:tr>
        <w:tc>
          <w:tcPr>
            <w:tcW w:type="dxa" w:w="680"/>
            <w:vAlign w:val="center"/>
          </w:tcPr>
          <w:p>
            <w:pPr>
              <w:spacing w:before="20" w:after="20"/>
            </w:pPr>
            <w:r>
              <w:rPr>
                <w:rFonts w:ascii="游ゴシック" w:hAnsi="游ゴシック" w:eastAsia="游ゴシック"/>
                <w:b w:val="0"/>
                <w:i w:val="0"/>
                <w:sz w:val="17"/>
              </w:rPr>
              <w:t>A-1</w:t>
            </w:r>
          </w:p>
        </w:tc>
        <w:tc>
          <w:tcPr>
            <w:tcW w:type="dxa" w:w="907"/>
            <w:vAlign w:val="center"/>
          </w:tcPr>
          <w:p>
            <w:pPr>
              <w:spacing w:before="20" w:after="20"/>
            </w:pPr>
            <w:r>
              <w:rPr>
                <w:rFonts w:ascii="游ゴシック" w:hAnsi="游ゴシック" w:eastAsia="游ゴシック"/>
                <w:b w:val="0"/>
                <w:i w:val="0"/>
                <w:sz w:val="17"/>
              </w:rPr>
              <w:t>国の指針</w:t>
            </w:r>
          </w:p>
        </w:tc>
        <w:tc>
          <w:tcPr>
            <w:tcW w:type="dxa" w:w="2608"/>
            <w:vAlign w:val="center"/>
          </w:tcPr>
          <w:p>
            <w:pPr>
              <w:spacing w:before="20" w:after="20"/>
            </w:pPr>
            <w:r>
              <w:rPr>
                <w:rFonts w:ascii="游ゴシック" w:hAnsi="游ゴシック" w:eastAsia="游ゴシック"/>
                <w:b w:val="0"/>
                <w:i w:val="0"/>
                <w:sz w:val="17"/>
              </w:rPr>
              <w:t>生活介護・就労継続支援Ｂ型・施設入所支援の見込量から継続入所者を除いて設定する</w:t>
            </w:r>
          </w:p>
        </w:tc>
        <w:tc>
          <w:tcPr>
            <w:tcW w:type="dxa" w:w="1928"/>
            <w:vAlign w:val="center"/>
          </w:tcPr>
          <w:p>
            <w:pPr>
              <w:spacing w:before="20" w:after="20"/>
            </w:pPr>
            <w:r>
              <w:rPr>
                <w:rFonts w:ascii="游ゴシック" w:hAnsi="游ゴシック" w:eastAsia="游ゴシック"/>
                <w:b w:val="0"/>
                <w:i w:val="0"/>
                <w:sz w:val="17"/>
              </w:rPr>
              <w:t>告示 第三の二の２㈠（設定するものとする）</w:t>
            </w:r>
          </w:p>
        </w:tc>
        <w:tc>
          <w:tcPr>
            <w:tcW w:type="dxa" w:w="1247"/>
            <w:vAlign w:val="center"/>
          </w:tcPr>
          <w:p>
            <w:pPr>
              <w:spacing w:before="20" w:after="20"/>
            </w:pPr>
            <w:r>
              <w:rPr>
                <w:rFonts w:ascii="游ゴシック" w:hAnsi="游ゴシック" w:eastAsia="游ゴシック"/>
                <w:b w:val="0"/>
                <w:i w:val="0"/>
                <w:sz w:val="17"/>
              </w:rPr>
              <w:t>指摘済み・未反映</w:t>
            </w:r>
          </w:p>
        </w:tc>
        <w:tc>
          <w:tcPr>
            <w:tcW w:type="dxa" w:w="2381"/>
            <w:vAlign w:val="center"/>
          </w:tcPr>
          <w:p>
            <w:pPr>
              <w:spacing w:before="20" w:after="20"/>
            </w:pPr>
            <w:r>
              <w:rPr>
                <w:rFonts w:ascii="游ゴシック" w:hAnsi="游ゴシック" w:eastAsia="游ゴシック"/>
                <w:b w:val="0"/>
                <w:i w:val="0"/>
                <w:sz w:val="17"/>
              </w:rPr>
              <w:t>第3部第2章1（見込量の算定方法）</w:t>
            </w:r>
          </w:p>
        </w:tc>
      </w:tr>
      <w:tr>
        <w:tc>
          <w:tcPr>
            <w:tcW w:type="dxa" w:w="680"/>
            <w:vAlign w:val="center"/>
          </w:tcPr>
          <w:p>
            <w:pPr>
              <w:spacing w:before="20" w:after="20"/>
            </w:pPr>
            <w:r>
              <w:rPr>
                <w:rFonts w:ascii="游ゴシック" w:hAnsi="游ゴシック" w:eastAsia="游ゴシック"/>
                <w:b w:val="0"/>
                <w:i w:val="0"/>
                <w:sz w:val="17"/>
              </w:rPr>
              <w:t>A-2</w:t>
            </w:r>
          </w:p>
        </w:tc>
        <w:tc>
          <w:tcPr>
            <w:tcW w:type="dxa" w:w="907"/>
            <w:vAlign w:val="center"/>
          </w:tcPr>
          <w:p>
            <w:pPr>
              <w:spacing w:before="20" w:after="20"/>
            </w:pPr>
            <w:r>
              <w:rPr>
                <w:rFonts w:ascii="游ゴシック" w:hAnsi="游ゴシック" w:eastAsia="游ゴシック"/>
                <w:b w:val="0"/>
                <w:i w:val="0"/>
                <w:sz w:val="17"/>
              </w:rPr>
              <w:t>国の指針</w:t>
            </w:r>
          </w:p>
        </w:tc>
        <w:tc>
          <w:tcPr>
            <w:tcW w:type="dxa" w:w="2608"/>
            <w:vAlign w:val="center"/>
          </w:tcPr>
          <w:p>
            <w:pPr>
              <w:spacing w:before="20" w:after="20"/>
            </w:pPr>
            <w:r>
              <w:rPr>
                <w:rFonts w:ascii="游ゴシック" w:hAnsi="游ゴシック" w:eastAsia="游ゴシック"/>
                <w:b w:val="0"/>
                <w:i w:val="0"/>
                <w:sz w:val="17"/>
              </w:rPr>
              <w:t>指定通所支援等の見込量は、保育所等における障害児の受入れの体制の整備状況を踏まえて設定する</w:t>
            </w:r>
          </w:p>
        </w:tc>
        <w:tc>
          <w:tcPr>
            <w:tcW w:type="dxa" w:w="1928"/>
            <w:vAlign w:val="center"/>
          </w:tcPr>
          <w:p>
            <w:pPr>
              <w:spacing w:before="20" w:after="20"/>
            </w:pPr>
            <w:r>
              <w:rPr>
                <w:rFonts w:ascii="游ゴシック" w:hAnsi="游ゴシック" w:eastAsia="游ゴシック"/>
                <w:b w:val="0"/>
                <w:i w:val="0"/>
                <w:sz w:val="17"/>
              </w:rPr>
              <w:t>告示 第三の二の２㈠（設定するものとする）</w:t>
            </w:r>
          </w:p>
        </w:tc>
        <w:tc>
          <w:tcPr>
            <w:tcW w:type="dxa" w:w="1247"/>
            <w:vAlign w:val="center"/>
          </w:tcPr>
          <w:p>
            <w:pPr>
              <w:spacing w:before="20" w:after="20"/>
            </w:pPr>
            <w:r>
              <w:rPr>
                <w:rFonts w:ascii="游ゴシック" w:hAnsi="游ゴシック" w:eastAsia="游ゴシック"/>
                <w:b w:val="0"/>
                <w:i w:val="0"/>
                <w:sz w:val="17"/>
              </w:rPr>
              <w:t>指摘済み・未反映</w:t>
            </w:r>
          </w:p>
        </w:tc>
        <w:tc>
          <w:tcPr>
            <w:tcW w:type="dxa" w:w="2381"/>
            <w:vAlign w:val="center"/>
          </w:tcPr>
          <w:p>
            <w:pPr>
              <w:spacing w:before="20" w:after="20"/>
            </w:pPr>
            <w:r>
              <w:rPr>
                <w:rFonts w:ascii="游ゴシック" w:hAnsi="游ゴシック" w:eastAsia="游ゴシック"/>
                <w:b w:val="0"/>
                <w:i w:val="0"/>
                <w:sz w:val="17"/>
              </w:rPr>
              <w:t>第3部第2章1・第3部第2章7（障がい児支援）</w:t>
            </w:r>
          </w:p>
        </w:tc>
      </w:tr>
      <w:tr>
        <w:tc>
          <w:tcPr>
            <w:tcW w:type="dxa" w:w="680"/>
            <w:vAlign w:val="center"/>
          </w:tcPr>
          <w:p>
            <w:pPr>
              <w:spacing w:before="20" w:after="20"/>
            </w:pPr>
            <w:r>
              <w:rPr>
                <w:rFonts w:ascii="游ゴシック" w:hAnsi="游ゴシック" w:eastAsia="游ゴシック"/>
                <w:b w:val="0"/>
                <w:i w:val="0"/>
                <w:sz w:val="17"/>
              </w:rPr>
              <w:t>A-3</w:t>
            </w:r>
          </w:p>
        </w:tc>
        <w:tc>
          <w:tcPr>
            <w:tcW w:type="dxa" w:w="907"/>
            <w:vAlign w:val="center"/>
          </w:tcPr>
          <w:p>
            <w:pPr>
              <w:spacing w:before="20" w:after="20"/>
            </w:pPr>
            <w:r>
              <w:rPr>
                <w:rFonts w:ascii="游ゴシック" w:hAnsi="游ゴシック" w:eastAsia="游ゴシック"/>
                <w:b w:val="0"/>
                <w:i w:val="0"/>
                <w:sz w:val="17"/>
              </w:rPr>
              <w:t>国の指針</w:t>
            </w:r>
          </w:p>
        </w:tc>
        <w:tc>
          <w:tcPr>
            <w:tcW w:type="dxa" w:w="2608"/>
            <w:vAlign w:val="center"/>
          </w:tcPr>
          <w:p>
            <w:pPr>
              <w:spacing w:before="20" w:after="20"/>
            </w:pPr>
            <w:r>
              <w:rPr>
                <w:rFonts w:ascii="游ゴシック" w:hAnsi="游ゴシック" w:eastAsia="游ゴシック"/>
                <w:b w:val="0"/>
                <w:i w:val="0"/>
                <w:sz w:val="17"/>
              </w:rPr>
              <w:t>廃止区分「医療型児童発達支援」を見込量の区分から落とす</w:t>
            </w:r>
          </w:p>
        </w:tc>
        <w:tc>
          <w:tcPr>
            <w:tcW w:type="dxa" w:w="1928"/>
            <w:vAlign w:val="center"/>
          </w:tcPr>
          <w:p>
            <w:pPr>
              <w:spacing w:before="20" w:after="20"/>
            </w:pPr>
            <w:r>
              <w:rPr>
                <w:rFonts w:ascii="游ゴシック" w:hAnsi="游ゴシック" w:eastAsia="游ゴシック"/>
                <w:b w:val="0"/>
                <w:i w:val="0"/>
                <w:sz w:val="17"/>
              </w:rPr>
              <w:t>令和4年法律第66号による児童福祉法の改正（令和6年4月1日施行）</w:t>
            </w:r>
          </w:p>
        </w:tc>
        <w:tc>
          <w:tcPr>
            <w:tcW w:type="dxa" w:w="1247"/>
            <w:vAlign w:val="center"/>
          </w:tcPr>
          <w:p>
            <w:pPr>
              <w:spacing w:before="20" w:after="20"/>
            </w:pPr>
            <w:r>
              <w:rPr>
                <w:rFonts w:ascii="游ゴシック" w:hAnsi="游ゴシック" w:eastAsia="游ゴシック"/>
                <w:b w:val="0"/>
                <w:i w:val="0"/>
                <w:sz w:val="17"/>
              </w:rPr>
              <w:t>未着手</w:t>
            </w:r>
          </w:p>
        </w:tc>
        <w:tc>
          <w:tcPr>
            <w:tcW w:type="dxa" w:w="2381"/>
            <w:vAlign w:val="center"/>
          </w:tcPr>
          <w:p>
            <w:pPr>
              <w:spacing w:before="20" w:after="20"/>
            </w:pPr>
            <w:r>
              <w:rPr>
                <w:rFonts w:ascii="游ゴシック" w:hAnsi="游ゴシック" w:eastAsia="游ゴシック"/>
                <w:b w:val="0"/>
                <w:i w:val="0"/>
                <w:sz w:val="17"/>
              </w:rPr>
              <w:t>第3部第2章7（障がい児支援）</w:t>
            </w:r>
          </w:p>
        </w:tc>
      </w:tr>
      <w:tr>
        <w:tc>
          <w:tcPr>
            <w:tcW w:type="dxa" w:w="680"/>
            <w:vAlign w:val="center"/>
          </w:tcPr>
          <w:p>
            <w:pPr>
              <w:spacing w:before="20" w:after="20"/>
            </w:pPr>
            <w:r>
              <w:rPr>
                <w:rFonts w:ascii="游ゴシック" w:hAnsi="游ゴシック" w:eastAsia="游ゴシック"/>
                <w:b w:val="0"/>
                <w:i w:val="0"/>
                <w:sz w:val="17"/>
              </w:rPr>
              <w:t>A-4</w:t>
            </w:r>
          </w:p>
        </w:tc>
        <w:tc>
          <w:tcPr>
            <w:tcW w:type="dxa" w:w="907"/>
            <w:vAlign w:val="center"/>
          </w:tcPr>
          <w:p>
            <w:pPr>
              <w:spacing w:before="20" w:after="20"/>
            </w:pPr>
            <w:r>
              <w:rPr>
                <w:rFonts w:ascii="游ゴシック" w:hAnsi="游ゴシック" w:eastAsia="游ゴシック"/>
                <w:b w:val="0"/>
                <w:i w:val="0"/>
                <w:sz w:val="17"/>
              </w:rPr>
              <w:t>国の指針</w:t>
            </w:r>
          </w:p>
        </w:tc>
        <w:tc>
          <w:tcPr>
            <w:tcW w:type="dxa" w:w="2608"/>
            <w:vAlign w:val="center"/>
          </w:tcPr>
          <w:p>
            <w:pPr>
              <w:spacing w:before="20" w:after="20"/>
            </w:pPr>
            <w:r>
              <w:rPr>
                <w:rFonts w:ascii="游ゴシック" w:hAnsi="游ゴシック" w:eastAsia="游ゴシック"/>
                <w:b w:val="0"/>
                <w:i w:val="0"/>
                <w:sz w:val="17"/>
              </w:rPr>
              <w:t>施設入所者数の基準時点を令和7年度末とする</w:t>
            </w:r>
          </w:p>
        </w:tc>
        <w:tc>
          <w:tcPr>
            <w:tcW w:type="dxa" w:w="1928"/>
            <w:vAlign w:val="center"/>
          </w:tcPr>
          <w:p>
            <w:pPr>
              <w:spacing w:before="20" w:after="20"/>
            </w:pPr>
            <w:r>
              <w:rPr>
                <w:rFonts w:ascii="游ゴシック" w:hAnsi="游ゴシック" w:eastAsia="游ゴシック"/>
                <w:b w:val="0"/>
                <w:i w:val="0"/>
                <w:sz w:val="17"/>
              </w:rPr>
              <w:t>告示 第二の一</w:t>
            </w:r>
          </w:p>
        </w:tc>
        <w:tc>
          <w:tcPr>
            <w:tcW w:type="dxa" w:w="1247"/>
            <w:vAlign w:val="center"/>
          </w:tcPr>
          <w:p>
            <w:pPr>
              <w:spacing w:before="20" w:after="20"/>
            </w:pPr>
            <w:r>
              <w:rPr>
                <w:rFonts w:ascii="游ゴシック" w:hAnsi="游ゴシック" w:eastAsia="游ゴシック"/>
                <w:b w:val="0"/>
                <w:i w:val="0"/>
                <w:sz w:val="17"/>
              </w:rPr>
              <w:t>反映済み</w:t>
            </w:r>
          </w:p>
        </w:tc>
        <w:tc>
          <w:tcPr>
            <w:tcW w:type="dxa" w:w="2381"/>
            <w:vAlign w:val="center"/>
          </w:tcPr>
          <w:p>
            <w:pPr>
              <w:spacing w:before="20" w:after="20"/>
            </w:pPr>
            <w:r>
              <w:rPr>
                <w:rFonts w:ascii="游ゴシック" w:hAnsi="游ゴシック" w:eastAsia="游ゴシック"/>
                <w:b w:val="0"/>
                <w:i w:val="0"/>
                <w:sz w:val="17"/>
              </w:rPr>
              <w:t>第3部第1章1（施設入所者の地域生活移行）</w:t>
            </w:r>
          </w:p>
        </w:tc>
      </w:tr>
      <w:tr>
        <w:tc>
          <w:tcPr>
            <w:tcW w:type="dxa" w:w="680"/>
            <w:vAlign w:val="center"/>
          </w:tcPr>
          <w:p>
            <w:pPr>
              <w:spacing w:before="20" w:after="20"/>
            </w:pPr>
            <w:r>
              <w:rPr>
                <w:rFonts w:ascii="游ゴシック" w:hAnsi="游ゴシック" w:eastAsia="游ゴシック"/>
                <w:b w:val="0"/>
                <w:i w:val="0"/>
                <w:sz w:val="17"/>
              </w:rPr>
              <w:t>A-5</w:t>
            </w:r>
          </w:p>
        </w:tc>
        <w:tc>
          <w:tcPr>
            <w:tcW w:type="dxa" w:w="907"/>
            <w:vAlign w:val="center"/>
          </w:tcPr>
          <w:p>
            <w:pPr>
              <w:spacing w:before="20" w:after="20"/>
            </w:pPr>
            <w:r>
              <w:rPr>
                <w:rFonts w:ascii="游ゴシック" w:hAnsi="游ゴシック" w:eastAsia="游ゴシック"/>
                <w:b w:val="0"/>
                <w:i w:val="0"/>
                <w:sz w:val="17"/>
              </w:rPr>
              <w:t>国の指針</w:t>
            </w:r>
          </w:p>
        </w:tc>
        <w:tc>
          <w:tcPr>
            <w:tcW w:type="dxa" w:w="2608"/>
            <w:vAlign w:val="center"/>
          </w:tcPr>
          <w:p>
            <w:pPr>
              <w:spacing w:before="20" w:after="20"/>
            </w:pPr>
            <w:r>
              <w:rPr>
                <w:rFonts w:ascii="游ゴシック" w:hAnsi="游ゴシック" w:eastAsia="游ゴシック"/>
                <w:b w:val="0"/>
                <w:i w:val="0"/>
                <w:sz w:val="17"/>
              </w:rPr>
              <w:t>活動指標を章節として立てる</w:t>
            </w:r>
          </w:p>
        </w:tc>
        <w:tc>
          <w:tcPr>
            <w:tcW w:type="dxa" w:w="1928"/>
            <w:vAlign w:val="center"/>
          </w:tcPr>
          <w:p>
            <w:pPr>
              <w:spacing w:before="20" w:after="20"/>
            </w:pPr>
            <w:r>
              <w:rPr>
                <w:rFonts w:ascii="游ゴシック" w:hAnsi="游ゴシック" w:eastAsia="游ゴシック"/>
                <w:b w:val="0"/>
                <w:i w:val="0"/>
                <w:sz w:val="17"/>
              </w:rPr>
              <w:t>告示 別表第一</w:t>
            </w:r>
          </w:p>
        </w:tc>
        <w:tc>
          <w:tcPr>
            <w:tcW w:type="dxa" w:w="1247"/>
            <w:vAlign w:val="center"/>
          </w:tcPr>
          <w:p>
            <w:pPr>
              <w:spacing w:before="20" w:after="20"/>
            </w:pPr>
            <w:r>
              <w:rPr>
                <w:rFonts w:ascii="游ゴシック" w:hAnsi="游ゴシック" w:eastAsia="游ゴシック"/>
                <w:b w:val="0"/>
                <w:i w:val="0"/>
                <w:sz w:val="17"/>
              </w:rPr>
              <w:t>反映済み</w:t>
            </w:r>
          </w:p>
        </w:tc>
        <w:tc>
          <w:tcPr>
            <w:tcW w:type="dxa" w:w="2381"/>
            <w:vAlign w:val="center"/>
          </w:tcPr>
          <w:p>
            <w:pPr>
              <w:spacing w:before="20" w:after="20"/>
            </w:pPr>
            <w:r>
              <w:rPr>
                <w:rFonts w:ascii="游ゴシック" w:hAnsi="游ゴシック" w:eastAsia="游ゴシック"/>
                <w:b w:val="0"/>
                <w:i w:val="0"/>
                <w:sz w:val="17"/>
              </w:rPr>
              <w:t>第3部第2章（活動指標・サービス見込量）</w:t>
            </w:r>
          </w:p>
        </w:tc>
      </w:tr>
      <w:tr>
        <w:tc>
          <w:tcPr>
            <w:tcW w:type="dxa" w:w="680"/>
            <w:vAlign w:val="center"/>
          </w:tcPr>
          <w:p>
            <w:pPr>
              <w:spacing w:before="20" w:after="20"/>
            </w:pPr>
            <w:r>
              <w:rPr>
                <w:rFonts w:ascii="游ゴシック" w:hAnsi="游ゴシック" w:eastAsia="游ゴシック"/>
                <w:b w:val="0"/>
                <w:i w:val="0"/>
                <w:sz w:val="17"/>
              </w:rPr>
              <w:t>A-6</w:t>
            </w:r>
          </w:p>
        </w:tc>
        <w:tc>
          <w:tcPr>
            <w:tcW w:type="dxa" w:w="907"/>
            <w:vAlign w:val="center"/>
          </w:tcPr>
          <w:p>
            <w:pPr>
              <w:spacing w:before="20" w:after="20"/>
            </w:pPr>
            <w:r>
              <w:rPr>
                <w:rFonts w:ascii="游ゴシック" w:hAnsi="游ゴシック" w:eastAsia="游ゴシック"/>
                <w:b w:val="0"/>
                <w:i w:val="0"/>
                <w:sz w:val="17"/>
              </w:rPr>
              <w:t>国の指針</w:t>
            </w:r>
          </w:p>
        </w:tc>
        <w:tc>
          <w:tcPr>
            <w:tcW w:type="dxa" w:w="2608"/>
            <w:vAlign w:val="center"/>
          </w:tcPr>
          <w:p>
            <w:pPr>
              <w:spacing w:before="20" w:after="20"/>
            </w:pPr>
            <w:r>
              <w:rPr>
                <w:rFonts w:ascii="游ゴシック" w:hAnsi="游ゴシック" w:eastAsia="游ゴシック"/>
                <w:b w:val="0"/>
                <w:i w:val="0"/>
                <w:sz w:val="17"/>
              </w:rPr>
              <w:t>人材確保、ケアの充実のための生産性向上及び経営基盤の確立等に係る取組事項</w:t>
            </w:r>
          </w:p>
        </w:tc>
        <w:tc>
          <w:tcPr>
            <w:tcW w:type="dxa" w:w="1928"/>
            <w:vAlign w:val="center"/>
          </w:tcPr>
          <w:p>
            <w:pPr>
              <w:spacing w:before="20" w:after="20"/>
            </w:pPr>
            <w:r>
              <w:rPr>
                <w:rFonts w:ascii="游ゴシック" w:hAnsi="游ゴシック" w:eastAsia="游ゴシック"/>
                <w:b w:val="0"/>
                <w:i w:val="0"/>
                <w:sz w:val="17"/>
              </w:rPr>
              <w:t>別表第二 六の項（令和8年7月10日の改正で新設）</w:t>
            </w:r>
          </w:p>
        </w:tc>
        <w:tc>
          <w:tcPr>
            <w:tcW w:type="dxa" w:w="1247"/>
            <w:vAlign w:val="center"/>
          </w:tcPr>
          <w:p>
            <w:pPr>
              <w:spacing w:before="20" w:after="20"/>
            </w:pPr>
            <w:r>
              <w:rPr>
                <w:rFonts w:ascii="游ゴシック" w:hAnsi="游ゴシック" w:eastAsia="游ゴシック"/>
                <w:b w:val="0"/>
                <w:i w:val="0"/>
                <w:sz w:val="17"/>
              </w:rPr>
              <w:t>指摘済み・未反映</w:t>
            </w:r>
          </w:p>
        </w:tc>
        <w:tc>
          <w:tcPr>
            <w:tcW w:type="dxa" w:w="2381"/>
            <w:vAlign w:val="center"/>
          </w:tcPr>
          <w:p>
            <w:pPr>
              <w:spacing w:before="20" w:after="20"/>
            </w:pPr>
            <w:r>
              <w:rPr>
                <w:rFonts w:ascii="游ゴシック" w:hAnsi="游ゴシック" w:eastAsia="游ゴシック"/>
                <w:b w:val="0"/>
                <w:i w:val="0"/>
                <w:sz w:val="17"/>
              </w:rPr>
              <w:t>第3部第3章2（人材の確保・定着と生産性向上）</w:t>
            </w:r>
          </w:p>
        </w:tc>
      </w:tr>
      <w:tr>
        <w:tc>
          <w:tcPr>
            <w:tcW w:type="dxa" w:w="680"/>
            <w:vAlign w:val="center"/>
          </w:tcPr>
          <w:p>
            <w:pPr>
              <w:spacing w:before="20" w:after="20"/>
            </w:pPr>
            <w:r>
              <w:rPr>
                <w:rFonts w:ascii="游ゴシック" w:hAnsi="游ゴシック" w:eastAsia="游ゴシック"/>
                <w:b w:val="0"/>
                <w:i w:val="0"/>
                <w:sz w:val="17"/>
              </w:rPr>
              <w:t>A-7</w:t>
            </w:r>
          </w:p>
        </w:tc>
        <w:tc>
          <w:tcPr>
            <w:tcW w:type="dxa" w:w="907"/>
            <w:vAlign w:val="center"/>
          </w:tcPr>
          <w:p>
            <w:pPr>
              <w:spacing w:before="20" w:after="20"/>
            </w:pPr>
            <w:r>
              <w:rPr>
                <w:rFonts w:ascii="游ゴシック" w:hAnsi="游ゴシック" w:eastAsia="游ゴシック"/>
                <w:b w:val="0"/>
                <w:i w:val="0"/>
                <w:sz w:val="17"/>
              </w:rPr>
              <w:t>国の指針</w:t>
            </w:r>
          </w:p>
        </w:tc>
        <w:tc>
          <w:tcPr>
            <w:tcW w:type="dxa" w:w="2608"/>
            <w:vAlign w:val="center"/>
          </w:tcPr>
          <w:p>
            <w:pPr>
              <w:spacing w:before="20" w:after="20"/>
            </w:pPr>
            <w:r>
              <w:rPr>
                <w:rFonts w:ascii="游ゴシック" w:hAnsi="游ゴシック" w:eastAsia="游ゴシック"/>
                <w:b w:val="0"/>
                <w:i w:val="0"/>
                <w:sz w:val="17"/>
              </w:rPr>
              <w:t>関係機関との連携（公共職業安定所・障害者就業・生活支援センター・障害者職業センター）</w:t>
            </w:r>
          </w:p>
        </w:tc>
        <w:tc>
          <w:tcPr>
            <w:tcW w:type="dxa" w:w="1928"/>
            <w:vAlign w:val="center"/>
          </w:tcPr>
          <w:p>
            <w:pPr>
              <w:spacing w:before="20" w:after="20"/>
            </w:pPr>
            <w:r>
              <w:rPr>
                <w:rFonts w:ascii="游ゴシック" w:hAnsi="游ゴシック" w:eastAsia="游ゴシック"/>
                <w:b w:val="0"/>
                <w:i w:val="0"/>
                <w:sz w:val="17"/>
              </w:rPr>
              <w:t>別表第二 五㈠㈡</w:t>
            </w:r>
          </w:p>
        </w:tc>
        <w:tc>
          <w:tcPr>
            <w:tcW w:type="dxa" w:w="1247"/>
            <w:vAlign w:val="center"/>
          </w:tcPr>
          <w:p>
            <w:pPr>
              <w:spacing w:before="20" w:after="20"/>
            </w:pPr>
            <w:r>
              <w:rPr>
                <w:rFonts w:ascii="游ゴシック" w:hAnsi="游ゴシック" w:eastAsia="游ゴシック"/>
                <w:b w:val="0"/>
                <w:i w:val="0"/>
                <w:sz w:val="17"/>
              </w:rPr>
              <w:t>未着手</w:t>
            </w:r>
          </w:p>
        </w:tc>
        <w:tc>
          <w:tcPr>
            <w:tcW w:type="dxa" w:w="2381"/>
            <w:vAlign w:val="center"/>
          </w:tcPr>
          <w:p>
            <w:pPr>
              <w:spacing w:before="20" w:after="20"/>
            </w:pPr>
            <w:r>
              <w:rPr>
                <w:rFonts w:ascii="游ゴシック" w:hAnsi="游ゴシック" w:eastAsia="游ゴシック"/>
                <w:b w:val="0"/>
                <w:i w:val="0"/>
                <w:sz w:val="17"/>
              </w:rPr>
              <w:t>第3部第3章（見込量確保のための方策）</w:t>
            </w:r>
          </w:p>
        </w:tc>
      </w:tr>
      <w:tr>
        <w:tc>
          <w:tcPr>
            <w:tcW w:type="dxa" w:w="680"/>
            <w:vAlign w:val="center"/>
          </w:tcPr>
          <w:p>
            <w:pPr>
              <w:spacing w:before="20" w:after="20"/>
            </w:pPr>
            <w:r>
              <w:rPr>
                <w:rFonts w:ascii="游ゴシック" w:hAnsi="游ゴシック" w:eastAsia="游ゴシック"/>
                <w:b w:val="0"/>
                <w:i w:val="0"/>
                <w:sz w:val="17"/>
              </w:rPr>
              <w:t>A-8</w:t>
            </w:r>
          </w:p>
        </w:tc>
        <w:tc>
          <w:tcPr>
            <w:tcW w:type="dxa" w:w="907"/>
            <w:vAlign w:val="center"/>
          </w:tcPr>
          <w:p>
            <w:pPr>
              <w:spacing w:before="20" w:after="20"/>
            </w:pPr>
            <w:r>
              <w:rPr>
                <w:rFonts w:ascii="游ゴシック" w:hAnsi="游ゴシック" w:eastAsia="游ゴシック"/>
                <w:b w:val="0"/>
                <w:i w:val="0"/>
                <w:sz w:val="17"/>
              </w:rPr>
              <w:t>国の指針</w:t>
            </w:r>
          </w:p>
        </w:tc>
        <w:tc>
          <w:tcPr>
            <w:tcW w:type="dxa" w:w="2608"/>
            <w:vAlign w:val="center"/>
          </w:tcPr>
          <w:p>
            <w:pPr>
              <w:spacing w:before="20" w:after="20"/>
            </w:pPr>
            <w:r>
              <w:rPr>
                <w:rFonts w:ascii="游ゴシック" w:hAnsi="游ゴシック" w:eastAsia="游ゴシック"/>
                <w:b w:val="0"/>
                <w:i w:val="0"/>
                <w:sz w:val="17"/>
              </w:rPr>
              <w:t>長期入院患者の地域生活への移行に伴う地域の精神保健医療福祉体制の基盤整備量（利用者数）</w:t>
            </w:r>
          </w:p>
        </w:tc>
        <w:tc>
          <w:tcPr>
            <w:tcW w:type="dxa" w:w="1928"/>
            <w:vAlign w:val="center"/>
          </w:tcPr>
          <w:p>
            <w:pPr>
              <w:spacing w:before="20" w:after="20"/>
            </w:pPr>
            <w:r>
              <w:rPr>
                <w:rFonts w:ascii="游ゴシック" w:hAnsi="游ゴシック" w:eastAsia="游ゴシック"/>
                <w:b w:val="0"/>
                <w:i w:val="0"/>
                <w:sz w:val="17"/>
              </w:rPr>
              <w:t>別表第二 三㈠⑤（定めなければならない事項）</w:t>
            </w:r>
          </w:p>
        </w:tc>
        <w:tc>
          <w:tcPr>
            <w:tcW w:type="dxa" w:w="1247"/>
            <w:vAlign w:val="center"/>
          </w:tcPr>
          <w:p>
            <w:pPr>
              <w:spacing w:before="20" w:after="20"/>
            </w:pPr>
            <w:r>
              <w:rPr>
                <w:rFonts w:ascii="游ゴシック" w:hAnsi="游ゴシック" w:eastAsia="游ゴシック"/>
                <w:b w:val="0"/>
                <w:i w:val="0"/>
                <w:sz w:val="17"/>
              </w:rPr>
              <w:t>未着手</w:t>
            </w:r>
          </w:p>
        </w:tc>
        <w:tc>
          <w:tcPr>
            <w:tcW w:type="dxa" w:w="2381"/>
            <w:vAlign w:val="center"/>
          </w:tcPr>
          <w:p>
            <w:pPr>
              <w:spacing w:before="20" w:after="20"/>
            </w:pPr>
            <w:r>
              <w:rPr>
                <w:rFonts w:ascii="游ゴシック" w:hAnsi="游ゴシック" w:eastAsia="游ゴシック"/>
                <w:b w:val="0"/>
                <w:i w:val="0"/>
                <w:sz w:val="17"/>
              </w:rPr>
              <w:t>第3部第1章2（精神障害にも対応した地域包括ケアシステム）</w:t>
            </w:r>
          </w:p>
        </w:tc>
      </w:tr>
      <w:tr>
        <w:tc>
          <w:tcPr>
            <w:tcW w:type="dxa" w:w="680"/>
            <w:vAlign w:val="center"/>
          </w:tcPr>
          <w:p>
            <w:pPr>
              <w:spacing w:before="20" w:after="20"/>
            </w:pPr>
            <w:r>
              <w:rPr>
                <w:rFonts w:ascii="游ゴシック" w:hAnsi="游ゴシック" w:eastAsia="游ゴシック"/>
                <w:b w:val="0"/>
                <w:i w:val="0"/>
                <w:sz w:val="17"/>
              </w:rPr>
              <w:t>A-9</w:t>
            </w:r>
          </w:p>
        </w:tc>
        <w:tc>
          <w:tcPr>
            <w:tcW w:type="dxa" w:w="907"/>
            <w:vAlign w:val="center"/>
          </w:tcPr>
          <w:p>
            <w:pPr>
              <w:spacing w:before="20" w:after="20"/>
            </w:pPr>
            <w:r>
              <w:rPr>
                <w:rFonts w:ascii="游ゴシック" w:hAnsi="游ゴシック" w:eastAsia="游ゴシック"/>
                <w:b w:val="0"/>
                <w:i w:val="0"/>
                <w:sz w:val="17"/>
              </w:rPr>
              <w:t>国の指針</w:t>
            </w:r>
          </w:p>
        </w:tc>
        <w:tc>
          <w:tcPr>
            <w:tcW w:type="dxa" w:w="2608"/>
            <w:vAlign w:val="center"/>
          </w:tcPr>
          <w:p>
            <w:pPr>
              <w:spacing w:before="20" w:after="20"/>
            </w:pPr>
            <w:r>
              <w:rPr>
                <w:rFonts w:ascii="游ゴシック" w:hAnsi="游ゴシック" w:eastAsia="游ゴシック"/>
                <w:b w:val="0"/>
                <w:i w:val="0"/>
                <w:sz w:val="17"/>
              </w:rPr>
              <w:t>別表第五（地域差の是正）の適用の有無を判定して書く</w:t>
            </w:r>
          </w:p>
        </w:tc>
        <w:tc>
          <w:tcPr>
            <w:tcW w:type="dxa" w:w="1928"/>
            <w:vAlign w:val="center"/>
          </w:tcPr>
          <w:p>
            <w:pPr>
              <w:spacing w:before="20" w:after="20"/>
            </w:pPr>
            <w:r>
              <w:rPr>
                <w:rFonts w:ascii="游ゴシック" w:hAnsi="游ゴシック" w:eastAsia="游ゴシック"/>
                <w:b w:val="0"/>
                <w:i w:val="0"/>
                <w:sz w:val="17"/>
              </w:rPr>
              <w:t>告示 別表第五</w:t>
            </w:r>
          </w:p>
        </w:tc>
        <w:tc>
          <w:tcPr>
            <w:tcW w:type="dxa" w:w="1247"/>
            <w:vAlign w:val="center"/>
          </w:tcPr>
          <w:p>
            <w:pPr>
              <w:spacing w:before="20" w:after="20"/>
            </w:pPr>
            <w:r>
              <w:rPr>
                <w:rFonts w:ascii="游ゴシック" w:hAnsi="游ゴシック" w:eastAsia="游ゴシック"/>
                <w:b w:val="0"/>
                <w:i w:val="0"/>
                <w:sz w:val="17"/>
              </w:rPr>
              <w:t>指摘済み・未反映</w:t>
            </w:r>
          </w:p>
        </w:tc>
        <w:tc>
          <w:tcPr>
            <w:tcW w:type="dxa" w:w="2381"/>
            <w:vAlign w:val="center"/>
          </w:tcPr>
          <w:p>
            <w:pPr>
              <w:spacing w:before="20" w:after="20"/>
            </w:pPr>
            <w:r>
              <w:rPr>
                <w:rFonts w:ascii="游ゴシック" w:hAnsi="游ゴシック" w:eastAsia="游ゴシック"/>
                <w:b w:val="0"/>
                <w:i w:val="0"/>
                <w:sz w:val="17"/>
              </w:rPr>
              <w:t>第3部第2章1（見込量の算定方法）</w:t>
            </w:r>
          </w:p>
        </w:tc>
      </w:tr>
      <w:tr>
        <w:tc>
          <w:tcPr>
            <w:tcW w:type="dxa" w:w="680"/>
            <w:vAlign w:val="center"/>
          </w:tcPr>
          <w:p>
            <w:pPr>
              <w:spacing w:before="20" w:after="20"/>
            </w:pPr>
            <w:r>
              <w:rPr>
                <w:rFonts w:ascii="游ゴシック" w:hAnsi="游ゴシック" w:eastAsia="游ゴシック"/>
                <w:b w:val="0"/>
                <w:i w:val="0"/>
                <w:sz w:val="17"/>
              </w:rPr>
              <w:t>A-10</w:t>
            </w:r>
          </w:p>
        </w:tc>
        <w:tc>
          <w:tcPr>
            <w:tcW w:type="dxa" w:w="907"/>
            <w:vAlign w:val="center"/>
          </w:tcPr>
          <w:p>
            <w:pPr>
              <w:spacing w:before="20" w:after="20"/>
            </w:pPr>
            <w:r>
              <w:rPr>
                <w:rFonts w:ascii="游ゴシック" w:hAnsi="游ゴシック" w:eastAsia="游ゴシック"/>
                <w:b w:val="0"/>
                <w:i w:val="0"/>
                <w:sz w:val="17"/>
              </w:rPr>
              <w:t>国の指針</w:t>
            </w:r>
          </w:p>
        </w:tc>
        <w:tc>
          <w:tcPr>
            <w:tcW w:type="dxa" w:w="2608"/>
            <w:vAlign w:val="center"/>
          </w:tcPr>
          <w:p>
            <w:pPr>
              <w:spacing w:before="20" w:after="20"/>
            </w:pPr>
            <w:r>
              <w:rPr>
                <w:rFonts w:ascii="游ゴシック" w:hAnsi="游ゴシック" w:eastAsia="游ゴシック"/>
                <w:b w:val="0"/>
                <w:i w:val="0"/>
                <w:sz w:val="17"/>
              </w:rPr>
              <w:t>医療的ケア児等（医療的ケア者を含む）への対応</w:t>
            </w:r>
          </w:p>
        </w:tc>
        <w:tc>
          <w:tcPr>
            <w:tcW w:type="dxa" w:w="1928"/>
            <w:vAlign w:val="center"/>
          </w:tcPr>
          <w:p>
            <w:pPr>
              <w:spacing w:before="20" w:after="20"/>
            </w:pPr>
            <w:r>
              <w:rPr>
                <w:rFonts w:ascii="游ゴシック" w:hAnsi="游ゴシック" w:eastAsia="游ゴシック"/>
                <w:b w:val="0"/>
                <w:i w:val="0"/>
                <w:sz w:val="17"/>
              </w:rPr>
              <w:t>令和8年8月19日の基本指針の改正案</w:t>
            </w:r>
          </w:p>
        </w:tc>
        <w:tc>
          <w:tcPr>
            <w:tcW w:type="dxa" w:w="1247"/>
            <w:vAlign w:val="center"/>
          </w:tcPr>
          <w:p>
            <w:pPr>
              <w:spacing w:before="20" w:after="20"/>
            </w:pPr>
            <w:r>
              <w:rPr>
                <w:rFonts w:ascii="游ゴシック" w:hAnsi="游ゴシック" w:eastAsia="游ゴシック"/>
                <w:b w:val="0"/>
                <w:i w:val="0"/>
                <w:sz w:val="17"/>
              </w:rPr>
              <w:t>反映済み</w:t>
            </w:r>
          </w:p>
        </w:tc>
        <w:tc>
          <w:tcPr>
            <w:tcW w:type="dxa" w:w="2381"/>
            <w:vAlign w:val="center"/>
          </w:tcPr>
          <w:p>
            <w:pPr>
              <w:spacing w:before="20" w:after="20"/>
            </w:pPr>
            <w:r>
              <w:rPr>
                <w:rFonts w:ascii="游ゴシック" w:hAnsi="游ゴシック" w:eastAsia="游ゴシック"/>
                <w:b w:val="0"/>
                <w:i w:val="0"/>
                <w:sz w:val="17"/>
              </w:rPr>
              <w:t>第2部第6章3・第3部第1章4</w:t>
            </w:r>
          </w:p>
        </w:tc>
      </w:tr>
      <w:tr>
        <w:tc>
          <w:tcPr>
            <w:tcW w:type="dxa" w:w="680"/>
            <w:vAlign w:val="center"/>
          </w:tcPr>
          <w:p>
            <w:pPr>
              <w:spacing w:before="20" w:after="20"/>
            </w:pPr>
            <w:r>
              <w:rPr>
                <w:rFonts w:ascii="游ゴシック" w:hAnsi="游ゴシック" w:eastAsia="游ゴシック"/>
                <w:b w:val="0"/>
                <w:i w:val="0"/>
                <w:sz w:val="17"/>
              </w:rPr>
              <w:t>B-1</w:t>
            </w:r>
          </w:p>
        </w:tc>
        <w:tc>
          <w:tcPr>
            <w:tcW w:type="dxa" w:w="907"/>
            <w:vAlign w:val="center"/>
          </w:tcPr>
          <w:p>
            <w:pPr>
              <w:spacing w:before="20" w:after="20"/>
            </w:pPr>
            <w:r>
              <w:rPr>
                <w:rFonts w:ascii="游ゴシック" w:hAnsi="游ゴシック" w:eastAsia="游ゴシック"/>
                <w:b w:val="0"/>
                <w:i w:val="0"/>
                <w:sz w:val="17"/>
              </w:rPr>
              <w:t>県の計画</w:t>
            </w:r>
          </w:p>
        </w:tc>
        <w:tc>
          <w:tcPr>
            <w:tcW w:type="dxa" w:w="2608"/>
            <w:vAlign w:val="center"/>
          </w:tcPr>
          <w:p>
            <w:pPr>
              <w:spacing w:before="20" w:after="20"/>
            </w:pPr>
            <w:r>
              <w:rPr>
                <w:rFonts w:ascii="游ゴシック" w:hAnsi="游ゴシック" w:eastAsia="游ゴシック"/>
                <w:b w:val="0"/>
                <w:i w:val="0"/>
                <w:sz w:val="17"/>
              </w:rPr>
              <w:t>小野町が属する障がい保健福祉圏域（県中圏域）とその構成市町村</w:t>
            </w:r>
          </w:p>
        </w:tc>
        <w:tc>
          <w:tcPr>
            <w:tcW w:type="dxa" w:w="1928"/>
            <w:vAlign w:val="center"/>
          </w:tcPr>
          <w:p>
            <w:pPr>
              <w:spacing w:before="20" w:after="20"/>
            </w:pPr>
            <w:r>
              <w:rPr>
                <w:rFonts w:ascii="游ゴシック" w:hAnsi="游ゴシック" w:eastAsia="游ゴシック"/>
                <w:b w:val="0"/>
                <w:i w:val="0"/>
                <w:sz w:val="17"/>
              </w:rPr>
              <w:t>告示 第三の一の5。第7期県計画 第1の5（区域の設定）</w:t>
            </w:r>
          </w:p>
        </w:tc>
        <w:tc>
          <w:tcPr>
            <w:tcW w:type="dxa" w:w="1247"/>
            <w:vAlign w:val="center"/>
          </w:tcPr>
          <w:p>
            <w:pPr>
              <w:spacing w:before="20" w:after="20"/>
            </w:pPr>
            <w:r>
              <w:rPr>
                <w:rFonts w:ascii="游ゴシック" w:hAnsi="游ゴシック" w:eastAsia="游ゴシック"/>
                <w:b w:val="0"/>
                <w:i w:val="0"/>
                <w:sz w:val="17"/>
              </w:rPr>
              <w:t>反映済み</w:t>
            </w:r>
          </w:p>
        </w:tc>
        <w:tc>
          <w:tcPr>
            <w:tcW w:type="dxa" w:w="2381"/>
            <w:vAlign w:val="center"/>
          </w:tcPr>
          <w:p>
            <w:pPr>
              <w:spacing w:before="20" w:after="20"/>
            </w:pPr>
            <w:r>
              <w:rPr>
                <w:rFonts w:ascii="游ゴシック" w:hAnsi="游ゴシック" w:eastAsia="游ゴシック"/>
                <w:b w:val="0"/>
                <w:i w:val="0"/>
                <w:sz w:val="17"/>
              </w:rPr>
              <w:t>第1部第1章2（計画の位置づけ）</w:t>
            </w:r>
          </w:p>
        </w:tc>
      </w:tr>
      <w:tr>
        <w:tc>
          <w:tcPr>
            <w:tcW w:type="dxa" w:w="680"/>
            <w:vAlign w:val="center"/>
          </w:tcPr>
          <w:p>
            <w:pPr>
              <w:spacing w:before="20" w:after="20"/>
            </w:pPr>
            <w:r>
              <w:rPr>
                <w:rFonts w:ascii="游ゴシック" w:hAnsi="游ゴシック" w:eastAsia="游ゴシック"/>
                <w:b w:val="0"/>
                <w:i w:val="0"/>
                <w:sz w:val="17"/>
              </w:rPr>
              <w:t>B-2</w:t>
            </w:r>
          </w:p>
        </w:tc>
        <w:tc>
          <w:tcPr>
            <w:tcW w:type="dxa" w:w="907"/>
            <w:vAlign w:val="center"/>
          </w:tcPr>
          <w:p>
            <w:pPr>
              <w:spacing w:before="20" w:after="20"/>
            </w:pPr>
            <w:r>
              <w:rPr>
                <w:rFonts w:ascii="游ゴシック" w:hAnsi="游ゴシック" w:eastAsia="游ゴシック"/>
                <w:b w:val="0"/>
                <w:i w:val="0"/>
                <w:sz w:val="17"/>
              </w:rPr>
              <w:t>県の計画</w:t>
            </w:r>
          </w:p>
        </w:tc>
        <w:tc>
          <w:tcPr>
            <w:tcW w:type="dxa" w:w="2608"/>
            <w:vAlign w:val="center"/>
          </w:tcPr>
          <w:p>
            <w:pPr>
              <w:spacing w:before="20" w:after="20"/>
            </w:pPr>
            <w:r>
              <w:rPr>
                <w:rFonts w:ascii="游ゴシック" w:hAnsi="游ゴシック" w:eastAsia="游ゴシック"/>
                <w:b w:val="0"/>
                <w:i w:val="0"/>
                <w:sz w:val="17"/>
              </w:rPr>
              <w:t>第5次福島県障がい者計画の計画期間と基本目標</w:t>
            </w:r>
          </w:p>
        </w:tc>
        <w:tc>
          <w:tcPr>
            <w:tcW w:type="dxa" w:w="1928"/>
            <w:vAlign w:val="center"/>
          </w:tcPr>
          <w:p>
            <w:pPr>
              <w:spacing w:before="20" w:after="20"/>
            </w:pPr>
            <w:r>
              <w:rPr>
                <w:rFonts w:ascii="游ゴシック" w:hAnsi="游ゴシック" w:eastAsia="游ゴシック"/>
                <w:b w:val="0"/>
                <w:i w:val="0"/>
                <w:sz w:val="17"/>
              </w:rPr>
              <w:t>第5次県障がい者計画 第1章第3・第5</w:t>
            </w:r>
          </w:p>
        </w:tc>
        <w:tc>
          <w:tcPr>
            <w:tcW w:type="dxa" w:w="1247"/>
            <w:vAlign w:val="center"/>
          </w:tcPr>
          <w:p>
            <w:pPr>
              <w:spacing w:before="20" w:after="20"/>
            </w:pPr>
            <w:r>
              <w:rPr>
                <w:rFonts w:ascii="游ゴシック" w:hAnsi="游ゴシック" w:eastAsia="游ゴシック"/>
                <w:b w:val="0"/>
                <w:i w:val="0"/>
                <w:sz w:val="17"/>
              </w:rPr>
              <w:t>反映済み</w:t>
            </w:r>
          </w:p>
        </w:tc>
        <w:tc>
          <w:tcPr>
            <w:tcW w:type="dxa" w:w="2381"/>
            <w:vAlign w:val="center"/>
          </w:tcPr>
          <w:p>
            <w:pPr>
              <w:spacing w:before="20" w:after="20"/>
            </w:pPr>
            <w:r>
              <w:rPr>
                <w:rFonts w:ascii="游ゴシック" w:hAnsi="游ゴシック" w:eastAsia="游ゴシック"/>
                <w:b w:val="0"/>
                <w:i w:val="0"/>
                <w:sz w:val="17"/>
              </w:rPr>
              <w:t>第1部第1章4（関連計画との関係）</w:t>
            </w:r>
          </w:p>
        </w:tc>
      </w:tr>
      <w:tr>
        <w:tc>
          <w:tcPr>
            <w:tcW w:type="dxa" w:w="680"/>
            <w:vAlign w:val="center"/>
          </w:tcPr>
          <w:p>
            <w:pPr>
              <w:spacing w:before="20" w:after="20"/>
            </w:pPr>
            <w:r>
              <w:rPr>
                <w:rFonts w:ascii="游ゴシック" w:hAnsi="游ゴシック" w:eastAsia="游ゴシック"/>
                <w:b w:val="0"/>
                <w:i w:val="0"/>
                <w:sz w:val="17"/>
              </w:rPr>
              <w:t>B-3</w:t>
            </w:r>
          </w:p>
        </w:tc>
        <w:tc>
          <w:tcPr>
            <w:tcW w:type="dxa" w:w="907"/>
            <w:vAlign w:val="center"/>
          </w:tcPr>
          <w:p>
            <w:pPr>
              <w:spacing w:before="20" w:after="20"/>
            </w:pPr>
            <w:r>
              <w:rPr>
                <w:rFonts w:ascii="游ゴシック" w:hAnsi="游ゴシック" w:eastAsia="游ゴシック"/>
                <w:b w:val="0"/>
                <w:i w:val="0"/>
                <w:sz w:val="17"/>
              </w:rPr>
              <w:t>県の計画</w:t>
            </w:r>
          </w:p>
        </w:tc>
        <w:tc>
          <w:tcPr>
            <w:tcW w:type="dxa" w:w="2608"/>
            <w:vAlign w:val="center"/>
          </w:tcPr>
          <w:p>
            <w:pPr>
              <w:spacing w:before="20" w:after="20"/>
            </w:pPr>
            <w:r>
              <w:rPr>
                <w:rFonts w:ascii="游ゴシック" w:hAnsi="游ゴシック" w:eastAsia="游ゴシック"/>
                <w:b w:val="0"/>
                <w:i w:val="0"/>
                <w:sz w:val="17"/>
              </w:rPr>
              <w:t>第7期福島県障がい福祉計画の計画期間と位置付け</w:t>
            </w:r>
          </w:p>
        </w:tc>
        <w:tc>
          <w:tcPr>
            <w:tcW w:type="dxa" w:w="1928"/>
            <w:vAlign w:val="center"/>
          </w:tcPr>
          <w:p>
            <w:pPr>
              <w:spacing w:before="20" w:after="20"/>
            </w:pPr>
            <w:r>
              <w:rPr>
                <w:rFonts w:ascii="游ゴシック" w:hAnsi="游ゴシック" w:eastAsia="游ゴシック"/>
                <w:b w:val="0"/>
                <w:i w:val="0"/>
                <w:sz w:val="17"/>
              </w:rPr>
              <w:t>第7期県計画 第1の2⑵・第1の4</w:t>
            </w:r>
          </w:p>
        </w:tc>
        <w:tc>
          <w:tcPr>
            <w:tcW w:type="dxa" w:w="1247"/>
            <w:vAlign w:val="center"/>
          </w:tcPr>
          <w:p>
            <w:pPr>
              <w:spacing w:before="20" w:after="20"/>
            </w:pPr>
            <w:r>
              <w:rPr>
                <w:rFonts w:ascii="游ゴシック" w:hAnsi="游ゴシック" w:eastAsia="游ゴシック"/>
                <w:b w:val="0"/>
                <w:i w:val="0"/>
                <w:sz w:val="17"/>
              </w:rPr>
              <w:t>指摘済み・未反映</w:t>
            </w:r>
          </w:p>
        </w:tc>
        <w:tc>
          <w:tcPr>
            <w:tcW w:type="dxa" w:w="2381"/>
            <w:vAlign w:val="center"/>
          </w:tcPr>
          <w:p>
            <w:pPr>
              <w:spacing w:before="20" w:after="20"/>
            </w:pPr>
            <w:r>
              <w:rPr>
                <w:rFonts w:ascii="游ゴシック" w:hAnsi="游ゴシック" w:eastAsia="游ゴシック"/>
                <w:b w:val="0"/>
                <w:i w:val="0"/>
                <w:sz w:val="17"/>
              </w:rPr>
              <w:t>第1部第1章4（関連計画との関係）</w:t>
            </w:r>
          </w:p>
        </w:tc>
      </w:tr>
      <w:tr>
        <w:tc>
          <w:tcPr>
            <w:tcW w:type="dxa" w:w="680"/>
            <w:vAlign w:val="center"/>
          </w:tcPr>
          <w:p>
            <w:pPr>
              <w:spacing w:before="20" w:after="20"/>
            </w:pPr>
            <w:r>
              <w:rPr>
                <w:rFonts w:ascii="游ゴシック" w:hAnsi="游ゴシック" w:eastAsia="游ゴシック"/>
                <w:b w:val="0"/>
                <w:i w:val="0"/>
                <w:sz w:val="17"/>
              </w:rPr>
              <w:t>B-4</w:t>
            </w:r>
          </w:p>
        </w:tc>
        <w:tc>
          <w:tcPr>
            <w:tcW w:type="dxa" w:w="907"/>
            <w:vAlign w:val="center"/>
          </w:tcPr>
          <w:p>
            <w:pPr>
              <w:spacing w:before="20" w:after="20"/>
            </w:pPr>
            <w:r>
              <w:rPr>
                <w:rFonts w:ascii="游ゴシック" w:hAnsi="游ゴシック" w:eastAsia="游ゴシック"/>
                <w:b w:val="0"/>
                <w:i w:val="0"/>
                <w:sz w:val="17"/>
              </w:rPr>
              <w:t>県の計画</w:t>
            </w:r>
          </w:p>
        </w:tc>
        <w:tc>
          <w:tcPr>
            <w:tcW w:type="dxa" w:w="2608"/>
            <w:vAlign w:val="center"/>
          </w:tcPr>
          <w:p>
            <w:pPr>
              <w:spacing w:before="20" w:after="20"/>
            </w:pPr>
            <w:r>
              <w:rPr>
                <w:rFonts w:ascii="游ゴシック" w:hAnsi="游ゴシック" w:eastAsia="游ゴシック"/>
                <w:b w:val="0"/>
                <w:i w:val="0"/>
                <w:sz w:val="17"/>
              </w:rPr>
              <w:t>県の成果目標の数値（県全体・県中圏域）</w:t>
            </w:r>
          </w:p>
        </w:tc>
        <w:tc>
          <w:tcPr>
            <w:tcW w:type="dxa" w:w="1928"/>
            <w:vAlign w:val="center"/>
          </w:tcPr>
          <w:p>
            <w:pPr>
              <w:spacing w:before="20" w:after="20"/>
            </w:pPr>
            <w:r>
              <w:rPr>
                <w:rFonts w:ascii="游ゴシック" w:hAnsi="游ゴシック" w:eastAsia="游ゴシック"/>
                <w:b w:val="0"/>
                <w:i w:val="0"/>
                <w:sz w:val="17"/>
              </w:rPr>
              <w:t>第7期県計画 第3・第9（県中圏域計画6）</w:t>
            </w:r>
          </w:p>
        </w:tc>
        <w:tc>
          <w:tcPr>
            <w:tcW w:type="dxa" w:w="1247"/>
            <w:vAlign w:val="center"/>
          </w:tcPr>
          <w:p>
            <w:pPr>
              <w:spacing w:before="20" w:after="20"/>
            </w:pPr>
            <w:r>
              <w:rPr>
                <w:rFonts w:ascii="游ゴシック" w:hAnsi="游ゴシック" w:eastAsia="游ゴシック"/>
                <w:b w:val="0"/>
                <w:i w:val="0"/>
                <w:sz w:val="17"/>
              </w:rPr>
              <w:t>未着手</w:t>
            </w:r>
          </w:p>
        </w:tc>
        <w:tc>
          <w:tcPr>
            <w:tcW w:type="dxa" w:w="2381"/>
            <w:vAlign w:val="center"/>
          </w:tcPr>
          <w:p>
            <w:pPr>
              <w:spacing w:before="20" w:after="20"/>
            </w:pPr>
            <w:r>
              <w:rPr>
                <w:rFonts w:ascii="游ゴシック" w:hAnsi="游ゴシック" w:eastAsia="游ゴシック"/>
                <w:b w:val="0"/>
                <w:i w:val="0"/>
                <w:sz w:val="17"/>
              </w:rPr>
              <w:t>第3部第1章（成果目標）</w:t>
            </w:r>
          </w:p>
        </w:tc>
      </w:tr>
      <w:tr>
        <w:tc>
          <w:tcPr>
            <w:tcW w:type="dxa" w:w="680"/>
            <w:vAlign w:val="center"/>
          </w:tcPr>
          <w:p>
            <w:pPr>
              <w:spacing w:before="20" w:after="20"/>
            </w:pPr>
            <w:r>
              <w:rPr>
                <w:rFonts w:ascii="游ゴシック" w:hAnsi="游ゴシック" w:eastAsia="游ゴシック"/>
                <w:b w:val="0"/>
                <w:i w:val="0"/>
                <w:sz w:val="17"/>
              </w:rPr>
              <w:t>B-5</w:t>
            </w:r>
          </w:p>
        </w:tc>
        <w:tc>
          <w:tcPr>
            <w:tcW w:type="dxa" w:w="907"/>
            <w:vAlign w:val="center"/>
          </w:tcPr>
          <w:p>
            <w:pPr>
              <w:spacing w:before="20" w:after="20"/>
            </w:pPr>
            <w:r>
              <w:rPr>
                <w:rFonts w:ascii="游ゴシック" w:hAnsi="游ゴシック" w:eastAsia="游ゴシック"/>
                <w:b w:val="0"/>
                <w:i w:val="0"/>
                <w:sz w:val="17"/>
              </w:rPr>
              <w:t>県の計画</w:t>
            </w:r>
          </w:p>
        </w:tc>
        <w:tc>
          <w:tcPr>
            <w:tcW w:type="dxa" w:w="2608"/>
            <w:vAlign w:val="center"/>
          </w:tcPr>
          <w:p>
            <w:pPr>
              <w:spacing w:before="20" w:after="20"/>
            </w:pPr>
            <w:r>
              <w:rPr>
                <w:rFonts w:ascii="游ゴシック" w:hAnsi="游ゴシック" w:eastAsia="游ゴシック"/>
                <w:b w:val="0"/>
                <w:i w:val="0"/>
                <w:sz w:val="17"/>
              </w:rPr>
              <w:t>基幹相談支援センター及び地域生活支援拠点の県の目標（県全体59市町村・県中圏域12市町村）</w:t>
            </w:r>
          </w:p>
        </w:tc>
        <w:tc>
          <w:tcPr>
            <w:tcW w:type="dxa" w:w="1928"/>
            <w:vAlign w:val="center"/>
          </w:tcPr>
          <w:p>
            <w:pPr>
              <w:spacing w:before="20" w:after="20"/>
            </w:pPr>
            <w:r>
              <w:rPr>
                <w:rFonts w:ascii="游ゴシック" w:hAnsi="游ゴシック" w:eastAsia="游ゴシック"/>
                <w:b w:val="0"/>
                <w:i w:val="0"/>
                <w:sz w:val="17"/>
              </w:rPr>
              <w:t>第7期県計画 第3の3・第3の5、県中圏域計画6</w:t>
            </w:r>
          </w:p>
        </w:tc>
        <w:tc>
          <w:tcPr>
            <w:tcW w:type="dxa" w:w="1247"/>
            <w:vAlign w:val="center"/>
          </w:tcPr>
          <w:p>
            <w:pPr>
              <w:spacing w:before="20" w:after="20"/>
            </w:pPr>
            <w:r>
              <w:rPr>
                <w:rFonts w:ascii="游ゴシック" w:hAnsi="游ゴシック" w:eastAsia="游ゴシック"/>
                <w:b w:val="0"/>
                <w:i w:val="0"/>
                <w:sz w:val="17"/>
              </w:rPr>
              <w:t>未着手</w:t>
            </w:r>
          </w:p>
        </w:tc>
        <w:tc>
          <w:tcPr>
            <w:tcW w:type="dxa" w:w="2381"/>
            <w:vAlign w:val="center"/>
          </w:tcPr>
          <w:p>
            <w:pPr>
              <w:spacing w:before="20" w:after="20"/>
            </w:pPr>
            <w:r>
              <w:rPr>
                <w:rFonts w:ascii="游ゴシック" w:hAnsi="游ゴシック" w:eastAsia="游ゴシック"/>
                <w:b w:val="0"/>
                <w:i w:val="0"/>
                <w:sz w:val="17"/>
              </w:rPr>
              <w:t>第3部第1章6・第3部第3章</w:t>
            </w:r>
          </w:p>
        </w:tc>
      </w:tr>
    </w:tbl>
    <w:p>
      <w:pPr>
        <w:spacing w:after="40"/>
      </w:pPr>
    </w:p>
    <w:p>
      <w:pPr>
        <w:spacing w:before="60" w:after="60"/>
      </w:pPr>
      <w:r>
        <w:rPr>
          <w:rFonts w:ascii="游ゴシック" w:hAnsi="游ゴシック" w:eastAsia="游ゴシック"/>
          <w:b w:val="0"/>
          <w:i w:val="0"/>
          <w:sz w:val="21"/>
        </w:rPr>
        <w:t>15項目のうち、反映済み5件、指摘済みだが骨子案に未反映5件、未着手5件です。</w:t>
      </w:r>
    </w:p>
    <w:p>
      <w:pPr>
        <w:pStyle w:val="Heading2"/>
        <w:keepNext/>
        <w:spacing w:before="180" w:after="100"/>
      </w:pPr>
      <w:bookmarkStart w:id="103" w:name="_Toc_003"/>
      <w:r>
        <w:rPr>
          <w:rFonts w:ascii="游ゴシック" w:hAnsi="游ゴシック" w:eastAsia="游ゴシック"/>
          <w:b/>
          <w:i w:val="0"/>
          <w:color w:val="2E74B5"/>
          <w:sz w:val="25"/>
        </w:rPr>
        <w:t>未着手のもの</w:t>
      </w:r>
      <w:bookmarkEnd w:id="103"/>
    </w:p>
    <w:p>
      <w:pPr>
        <w:keepNext/>
        <w:spacing w:before="200" w:after="40"/>
      </w:pPr>
      <w:r>
        <w:rPr>
          <w:rFonts w:ascii="游ゴシック" w:hAnsi="游ゴシック" w:eastAsia="游ゴシック"/>
          <w:b/>
          <w:i w:val="0"/>
          <w:color w:val="1F4D78"/>
          <w:sz w:val="22"/>
        </w:rPr>
        <w:t>【表3】未着手の項目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2608"/>
        <w:gridCol w:w="2041"/>
        <w:gridCol w:w="4422"/>
      </w:tblGrid>
      <w:tr>
        <w:tc>
          <w:tcPr>
            <w:tcW w:type="dxa" w:w="680"/>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4422"/>
            <w:shd w:val="clear" w:fill="1F3864"/>
            <w:vAlign w:val="center"/>
          </w:tcPr>
          <w:p>
            <w:pPr>
              <w:spacing w:before="20" w:after="20"/>
              <w:jc w:val="center"/>
            </w:pPr>
            <w:r>
              <w:rPr>
                <w:rFonts w:ascii="游ゴシック" w:hAnsi="游ゴシック" w:eastAsia="游ゴシック"/>
                <w:b/>
                <w:i w:val="0"/>
                <w:color w:val="FFFFFF"/>
                <w:sz w:val="17"/>
              </w:rPr>
              <w:t>なぜ要るか</w:t>
            </w:r>
          </w:p>
        </w:tc>
      </w:tr>
      <w:tr>
        <w:tc>
          <w:tcPr>
            <w:tcW w:type="dxa" w:w="680"/>
            <w:vAlign w:val="center"/>
          </w:tcPr>
          <w:p>
            <w:pPr>
              <w:spacing w:before="20" w:after="20"/>
            </w:pPr>
            <w:r>
              <w:rPr>
                <w:rFonts w:ascii="游ゴシック" w:hAnsi="游ゴシック" w:eastAsia="游ゴシック"/>
                <w:b w:val="0"/>
                <w:i w:val="0"/>
                <w:sz w:val="17"/>
              </w:rPr>
              <w:t>A-3</w:t>
            </w:r>
          </w:p>
        </w:tc>
        <w:tc>
          <w:tcPr>
            <w:tcW w:type="dxa" w:w="2608"/>
            <w:vAlign w:val="center"/>
          </w:tcPr>
          <w:p>
            <w:pPr>
              <w:spacing w:before="20" w:after="20"/>
            </w:pPr>
            <w:r>
              <w:rPr>
                <w:rFonts w:ascii="游ゴシック" w:hAnsi="游ゴシック" w:eastAsia="游ゴシック"/>
                <w:b w:val="0"/>
                <w:i w:val="0"/>
                <w:sz w:val="17"/>
              </w:rPr>
              <w:t>廃止区分「医療型児童発達支援」を見込量の区分から落とす</w:t>
            </w:r>
          </w:p>
        </w:tc>
        <w:tc>
          <w:tcPr>
            <w:tcW w:type="dxa" w:w="2041"/>
            <w:vAlign w:val="center"/>
          </w:tcPr>
          <w:p>
            <w:pPr>
              <w:spacing w:before="20" w:after="20"/>
            </w:pPr>
            <w:r>
              <w:rPr>
                <w:rFonts w:ascii="游ゴシック" w:hAnsi="游ゴシック" w:eastAsia="游ゴシック"/>
                <w:b w:val="0"/>
                <w:i w:val="0"/>
                <w:sz w:val="17"/>
              </w:rPr>
              <w:t>令和4年法律第66号による児童福祉法の改正（令和6年4月1日施行）</w:t>
            </w:r>
          </w:p>
        </w:tc>
        <w:tc>
          <w:tcPr>
            <w:tcW w:type="dxa" w:w="4422"/>
            <w:vAlign w:val="center"/>
          </w:tcPr>
          <w:p>
            <w:pPr>
              <w:spacing w:before="20" w:after="20"/>
            </w:pPr>
            <w:r>
              <w:rPr>
                <w:rFonts w:ascii="游ゴシック" w:hAnsi="游ゴシック" w:eastAsia="游ゴシック"/>
                <w:b w:val="0"/>
                <w:i w:val="0"/>
                <w:sz w:val="17"/>
              </w:rPr>
              <w:t>廃止区分が見込量の区分に残っている。令和6年4月に児童発達支援へ一元化された区分であり、素案に移すと県との計画協議で指摘を受ける</w:t>
            </w:r>
          </w:p>
        </w:tc>
      </w:tr>
      <w:tr>
        <w:tc>
          <w:tcPr>
            <w:tcW w:type="dxa" w:w="680"/>
            <w:vAlign w:val="center"/>
          </w:tcPr>
          <w:p>
            <w:pPr>
              <w:spacing w:before="20" w:after="20"/>
            </w:pPr>
            <w:r>
              <w:rPr>
                <w:rFonts w:ascii="游ゴシック" w:hAnsi="游ゴシック" w:eastAsia="游ゴシック"/>
                <w:b w:val="0"/>
                <w:i w:val="0"/>
                <w:sz w:val="17"/>
              </w:rPr>
              <w:t>A-7</w:t>
            </w:r>
          </w:p>
        </w:tc>
        <w:tc>
          <w:tcPr>
            <w:tcW w:type="dxa" w:w="2608"/>
            <w:vAlign w:val="center"/>
          </w:tcPr>
          <w:p>
            <w:pPr>
              <w:spacing w:before="20" w:after="20"/>
            </w:pPr>
            <w:r>
              <w:rPr>
                <w:rFonts w:ascii="游ゴシック" w:hAnsi="游ゴシック" w:eastAsia="游ゴシック"/>
                <w:b w:val="0"/>
                <w:i w:val="0"/>
                <w:sz w:val="17"/>
              </w:rPr>
              <w:t>関係機関との連携（公共職業安定所・障害者就業・生活支援センター・障害者職業センター）</w:t>
            </w:r>
          </w:p>
        </w:tc>
        <w:tc>
          <w:tcPr>
            <w:tcW w:type="dxa" w:w="2041"/>
            <w:vAlign w:val="center"/>
          </w:tcPr>
          <w:p>
            <w:pPr>
              <w:spacing w:before="20" w:after="20"/>
            </w:pPr>
            <w:r>
              <w:rPr>
                <w:rFonts w:ascii="游ゴシック" w:hAnsi="游ゴシック" w:eastAsia="游ゴシック"/>
                <w:b w:val="0"/>
                <w:i w:val="0"/>
                <w:sz w:val="17"/>
              </w:rPr>
              <w:t>別表第二 五㈠㈡</w:t>
            </w:r>
          </w:p>
        </w:tc>
        <w:tc>
          <w:tcPr>
            <w:tcW w:type="dxa" w:w="4422"/>
            <w:vAlign w:val="center"/>
          </w:tcPr>
          <w:p>
            <w:pPr>
              <w:spacing w:before="20" w:after="20"/>
            </w:pPr>
            <w:r>
              <w:rPr>
                <w:rFonts w:ascii="游ゴシック" w:hAnsi="游ゴシック" w:eastAsia="游ゴシック"/>
                <w:b w:val="0"/>
                <w:i w:val="0"/>
                <w:sz w:val="17"/>
              </w:rPr>
              <w:t>別表第二 五㈠㈡は「定めるよう努めなければならない事項」。就労の成果目標（第3部第1章3）の実効性を説明する相手方が書けない</w:t>
            </w:r>
          </w:p>
        </w:tc>
      </w:tr>
      <w:tr>
        <w:tc>
          <w:tcPr>
            <w:tcW w:type="dxa" w:w="680"/>
            <w:vAlign w:val="center"/>
          </w:tcPr>
          <w:p>
            <w:pPr>
              <w:spacing w:before="20" w:after="20"/>
            </w:pPr>
            <w:r>
              <w:rPr>
                <w:rFonts w:ascii="游ゴシック" w:hAnsi="游ゴシック" w:eastAsia="游ゴシック"/>
                <w:b w:val="0"/>
                <w:i w:val="0"/>
                <w:sz w:val="17"/>
              </w:rPr>
              <w:t>A-8</w:t>
            </w:r>
          </w:p>
        </w:tc>
        <w:tc>
          <w:tcPr>
            <w:tcW w:type="dxa" w:w="2608"/>
            <w:vAlign w:val="center"/>
          </w:tcPr>
          <w:p>
            <w:pPr>
              <w:spacing w:before="20" w:after="20"/>
            </w:pPr>
            <w:r>
              <w:rPr>
                <w:rFonts w:ascii="游ゴシック" w:hAnsi="游ゴシック" w:eastAsia="游ゴシック"/>
                <w:b w:val="0"/>
                <w:i w:val="0"/>
                <w:sz w:val="17"/>
              </w:rPr>
              <w:t>長期入院患者の地域生活への移行に伴う地域の精神保健医療福祉体制の基盤整備量（利用者数）</w:t>
            </w:r>
          </w:p>
        </w:tc>
        <w:tc>
          <w:tcPr>
            <w:tcW w:type="dxa" w:w="2041"/>
            <w:vAlign w:val="center"/>
          </w:tcPr>
          <w:p>
            <w:pPr>
              <w:spacing w:before="20" w:after="20"/>
            </w:pPr>
            <w:r>
              <w:rPr>
                <w:rFonts w:ascii="游ゴシック" w:hAnsi="游ゴシック" w:eastAsia="游ゴシック"/>
                <w:b w:val="0"/>
                <w:i w:val="0"/>
                <w:sz w:val="17"/>
              </w:rPr>
              <w:t>別表第二 三㈠⑤（定めなければならない事項）</w:t>
            </w:r>
          </w:p>
        </w:tc>
        <w:tc>
          <w:tcPr>
            <w:tcW w:type="dxa" w:w="4422"/>
            <w:vAlign w:val="center"/>
          </w:tcPr>
          <w:p>
            <w:pPr>
              <w:spacing w:before="20" w:after="20"/>
            </w:pPr>
            <w:r>
              <w:rPr>
                <w:rFonts w:ascii="游ゴシック" w:hAnsi="游ゴシック" w:eastAsia="游ゴシック"/>
                <w:b w:val="0"/>
                <w:i w:val="0"/>
                <w:sz w:val="17"/>
              </w:rPr>
              <w:t>別表第二 三㈠⑤は「定めなければならない事項」。県の算定値を待つ形でも項目を置かないと記載事項を欠く</w:t>
            </w:r>
          </w:p>
        </w:tc>
      </w:tr>
      <w:tr>
        <w:tc>
          <w:tcPr>
            <w:tcW w:type="dxa" w:w="680"/>
            <w:vAlign w:val="center"/>
          </w:tcPr>
          <w:p>
            <w:pPr>
              <w:spacing w:before="20" w:after="20"/>
            </w:pPr>
            <w:r>
              <w:rPr>
                <w:rFonts w:ascii="游ゴシック" w:hAnsi="游ゴシック" w:eastAsia="游ゴシック"/>
                <w:b w:val="0"/>
                <w:i w:val="0"/>
                <w:sz w:val="17"/>
              </w:rPr>
              <w:t>B-4</w:t>
            </w:r>
          </w:p>
        </w:tc>
        <w:tc>
          <w:tcPr>
            <w:tcW w:type="dxa" w:w="2608"/>
            <w:vAlign w:val="center"/>
          </w:tcPr>
          <w:p>
            <w:pPr>
              <w:spacing w:before="20" w:after="20"/>
            </w:pPr>
            <w:r>
              <w:rPr>
                <w:rFonts w:ascii="游ゴシック" w:hAnsi="游ゴシック" w:eastAsia="游ゴシック"/>
                <w:b w:val="0"/>
                <w:i w:val="0"/>
                <w:sz w:val="17"/>
              </w:rPr>
              <w:t>県の成果目標の数値（県全体・県中圏域）</w:t>
            </w:r>
          </w:p>
        </w:tc>
        <w:tc>
          <w:tcPr>
            <w:tcW w:type="dxa" w:w="2041"/>
            <w:vAlign w:val="center"/>
          </w:tcPr>
          <w:p>
            <w:pPr>
              <w:spacing w:before="20" w:after="20"/>
            </w:pPr>
            <w:r>
              <w:rPr>
                <w:rFonts w:ascii="游ゴシック" w:hAnsi="游ゴシック" w:eastAsia="游ゴシック"/>
                <w:b w:val="0"/>
                <w:i w:val="0"/>
                <w:sz w:val="17"/>
              </w:rPr>
              <w:t>第7期県計画 第3・第9（県中圏域計画6）</w:t>
            </w:r>
          </w:p>
        </w:tc>
        <w:tc>
          <w:tcPr>
            <w:tcW w:type="dxa" w:w="4422"/>
            <w:vAlign w:val="center"/>
          </w:tcPr>
          <w:p>
            <w:pPr>
              <w:spacing w:before="20" w:after="20"/>
            </w:pPr>
            <w:r>
              <w:rPr>
                <w:rFonts w:ascii="游ゴシック" w:hAnsi="游ゴシック" w:eastAsia="游ゴシック"/>
                <w:b w:val="0"/>
                <w:i w:val="0"/>
                <w:sz w:val="17"/>
              </w:rPr>
              <w:t>告示 第三の二の1は成果目標を「障害福祉計画の実績及び地域の実情を踏まえて設定することが適当」とする。県の目標水準に触れないと、町が国の率をそのまま採らない場合の説明が立たない</w:t>
            </w:r>
          </w:p>
        </w:tc>
      </w:tr>
      <w:tr>
        <w:tc>
          <w:tcPr>
            <w:tcW w:type="dxa" w:w="680"/>
            <w:vAlign w:val="center"/>
          </w:tcPr>
          <w:p>
            <w:pPr>
              <w:spacing w:before="20" w:after="20"/>
            </w:pPr>
            <w:r>
              <w:rPr>
                <w:rFonts w:ascii="游ゴシック" w:hAnsi="游ゴシック" w:eastAsia="游ゴシック"/>
                <w:b w:val="0"/>
                <w:i w:val="0"/>
                <w:sz w:val="17"/>
              </w:rPr>
              <w:t>B-5</w:t>
            </w:r>
          </w:p>
        </w:tc>
        <w:tc>
          <w:tcPr>
            <w:tcW w:type="dxa" w:w="2608"/>
            <w:vAlign w:val="center"/>
          </w:tcPr>
          <w:p>
            <w:pPr>
              <w:spacing w:before="20" w:after="20"/>
            </w:pPr>
            <w:r>
              <w:rPr>
                <w:rFonts w:ascii="游ゴシック" w:hAnsi="游ゴシック" w:eastAsia="游ゴシック"/>
                <w:b w:val="0"/>
                <w:i w:val="0"/>
                <w:sz w:val="17"/>
              </w:rPr>
              <w:t>基幹相談支援センター及び地域生活支援拠点の県の目標（県全体59市町村・県中圏域12市町村）</w:t>
            </w:r>
          </w:p>
        </w:tc>
        <w:tc>
          <w:tcPr>
            <w:tcW w:type="dxa" w:w="2041"/>
            <w:vAlign w:val="center"/>
          </w:tcPr>
          <w:p>
            <w:pPr>
              <w:spacing w:before="20" w:after="20"/>
            </w:pPr>
            <w:r>
              <w:rPr>
                <w:rFonts w:ascii="游ゴシック" w:hAnsi="游ゴシック" w:eastAsia="游ゴシック"/>
                <w:b w:val="0"/>
                <w:i w:val="0"/>
                <w:sz w:val="17"/>
              </w:rPr>
              <w:t>第7期県計画 第3の3・第3の5、県中圏域計画6</w:t>
            </w:r>
          </w:p>
        </w:tc>
        <w:tc>
          <w:tcPr>
            <w:tcW w:type="dxa" w:w="4422"/>
            <w:vAlign w:val="center"/>
          </w:tcPr>
          <w:p>
            <w:pPr>
              <w:spacing w:before="20" w:after="20"/>
            </w:pPr>
            <w:r>
              <w:rPr>
                <w:rFonts w:ascii="游ゴシック" w:hAnsi="游ゴシック" w:eastAsia="游ゴシック"/>
                <w:b w:val="0"/>
                <w:i w:val="0"/>
                <w:sz w:val="17"/>
              </w:rPr>
              <w:t>基幹相談支援センターと地域生活支援拠点は成果目標の区分であり、県の目標（圏域12市町村）との関係を書かないと達成の判定ができない</w:t>
            </w:r>
          </w:p>
        </w:tc>
      </w:tr>
    </w:tbl>
    <w:p>
      <w:pPr>
        <w:spacing w:after="40"/>
      </w:pPr>
    </w:p>
    <w:p>
      <w:pPr>
        <w:pStyle w:val="Heading1"/>
        <w:keepNext/>
        <w:spacing w:before="240" w:after="100"/>
      </w:pPr>
      <w:bookmarkStart w:id="104" w:name="_Toc_004"/>
      <w:r>
        <w:rPr>
          <w:rFonts w:ascii="游ゴシック" w:hAnsi="游ゴシック" w:eastAsia="游ゴシック"/>
          <w:b/>
          <w:i w:val="0"/>
          <w:color w:val="2E74B5"/>
          <w:sz w:val="30"/>
        </w:rPr>
        <w:t>2　新たに見つかった誤り</w:t>
      </w:r>
      <w:bookmarkEnd w:id="104"/>
    </w:p>
    <w:p>
      <w:pPr>
        <w:spacing w:before="60" w:after="60"/>
      </w:pPr>
      <w:r>
        <w:rPr>
          <w:rFonts w:ascii="游ゴシック" w:hAnsi="游ゴシック" w:eastAsia="游ゴシック"/>
          <w:b w:val="0"/>
          <w:i w:val="0"/>
          <w:sz w:val="21"/>
        </w:rPr>
        <w:t>県計画の原典を確認した結果、骨子案 第2版の記載に誤りが3件見つかりました。</w:t>
      </w:r>
    </w:p>
    <w:p>
      <w:pPr>
        <w:keepNext/>
        <w:spacing w:before="200" w:after="40"/>
      </w:pPr>
      <w:r>
        <w:rPr>
          <w:rFonts w:ascii="游ゴシック" w:hAnsi="游ゴシック" w:eastAsia="游ゴシック"/>
          <w:b/>
          <w:i w:val="0"/>
          <w:color w:val="1F4D78"/>
          <w:sz w:val="22"/>
        </w:rPr>
        <w:t>【表4】骨子案の記載の誤り</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2154"/>
        <w:gridCol w:w="2381"/>
        <w:gridCol w:w="2721"/>
        <w:gridCol w:w="794"/>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現在の記載</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原典</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直し方</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重さ</w:t>
            </w:r>
          </w:p>
        </w:tc>
      </w:tr>
      <w:tr>
        <w:tc>
          <w:tcPr>
            <w:tcW w:type="dxa" w:w="1701"/>
            <w:vAlign w:val="center"/>
          </w:tcPr>
          <w:p>
            <w:pPr>
              <w:spacing w:before="20" w:after="20"/>
            </w:pPr>
            <w:r>
              <w:rPr>
                <w:rFonts w:ascii="游ゴシック" w:hAnsi="游ゴシック" w:eastAsia="游ゴシック"/>
                <w:b w:val="0"/>
                <w:i w:val="0"/>
                <w:sz w:val="17"/>
              </w:rPr>
              <w:t>骨子案 第2版 表2（関連計画との関係）</w:t>
            </w:r>
          </w:p>
        </w:tc>
        <w:tc>
          <w:tcPr>
            <w:tcW w:type="dxa" w:w="2154"/>
            <w:vAlign w:val="center"/>
          </w:tcPr>
          <w:p>
            <w:pPr>
              <w:spacing w:before="20" w:after="20"/>
            </w:pPr>
            <w:r>
              <w:rPr>
                <w:rFonts w:ascii="游ゴシック" w:hAnsi="游ゴシック" w:eastAsia="游ゴシック"/>
                <w:b w:val="0"/>
                <w:i w:val="0"/>
                <w:sz w:val="17"/>
              </w:rPr>
              <w:t>「県障がい者計画は令和9年度で満了するため、本計画期間の後半は県の次期計画の策定状況を踏まえて整合を図る」</w:t>
            </w:r>
          </w:p>
        </w:tc>
        <w:tc>
          <w:tcPr>
            <w:tcW w:type="dxa" w:w="2381"/>
            <w:vAlign w:val="center"/>
          </w:tcPr>
          <w:p>
            <w:pPr>
              <w:spacing w:before="20" w:after="20"/>
            </w:pPr>
            <w:r>
              <w:rPr>
                <w:rFonts w:ascii="游ゴシック" w:hAnsi="游ゴシック" w:eastAsia="游ゴシック"/>
                <w:b w:val="0"/>
                <w:i w:val="0"/>
                <w:sz w:val="17"/>
              </w:rPr>
              <w:t>第5次福島県障がい者計画 第1章第3「計画の期間」は「本計画の期間は、『福島県総合計画』及び『福島県保健医療福祉復興ビジョン』との整合を図るため、目標年度を合わせ、令和4年度から令和12年度までの9年間とします」とする</w:t>
            </w:r>
          </w:p>
        </w:tc>
        <w:tc>
          <w:tcPr>
            <w:tcW w:type="dxa" w:w="2721"/>
            <w:vAlign w:val="center"/>
          </w:tcPr>
          <w:p>
            <w:pPr>
              <w:spacing w:before="20" w:after="20"/>
            </w:pPr>
            <w:r>
              <w:rPr>
                <w:rFonts w:ascii="游ゴシック" w:hAnsi="游ゴシック" w:eastAsia="游ゴシック"/>
                <w:b w:val="0"/>
                <w:i w:val="0"/>
                <w:sz w:val="17"/>
              </w:rPr>
              <w:t>県障がい者計画は令和12年度まであり、本計画期間（令和9〜11年度）はその期間内に完全に収まる。「令和9年度で満了」「後半は次期計画の策定状況を踏まえる」という前提は成り立たないため、「本計画期間は県障がい者計画の期間内にあり、同計画の基本目標・重点施策に即して組む」に改める</w:t>
            </w:r>
          </w:p>
        </w:tc>
        <w:tc>
          <w:tcPr>
            <w:tcW w:type="dxa" w:w="794"/>
            <w:vAlign w:val="center"/>
          </w:tcPr>
          <w:p>
            <w:pPr>
              <w:spacing w:before="20" w:after="20"/>
            </w:pPr>
            <w:r>
              <w:rPr>
                <w:rFonts w:ascii="游ゴシック" w:hAnsi="游ゴシック" w:eastAsia="游ゴシック"/>
                <w:b w:val="0"/>
                <w:i w:val="0"/>
                <w:sz w:val="17"/>
              </w:rPr>
              <w:t>重大</w:t>
            </w:r>
          </w:p>
        </w:tc>
      </w:tr>
      <w:tr>
        <w:tc>
          <w:tcPr>
            <w:tcW w:type="dxa" w:w="1701"/>
            <w:vAlign w:val="center"/>
          </w:tcPr>
          <w:p>
            <w:pPr>
              <w:spacing w:before="20" w:after="20"/>
            </w:pPr>
            <w:r>
              <w:rPr>
                <w:rFonts w:ascii="游ゴシック" w:hAnsi="游ゴシック" w:eastAsia="游ゴシック"/>
                <w:b w:val="0"/>
                <w:i w:val="0"/>
                <w:sz w:val="17"/>
              </w:rPr>
              <w:t>骨子案 第2版 第3部5（障がい児支援）の見込量の区分</w:t>
            </w:r>
          </w:p>
        </w:tc>
        <w:tc>
          <w:tcPr>
            <w:tcW w:type="dxa" w:w="2154"/>
            <w:vAlign w:val="center"/>
          </w:tcPr>
          <w:p>
            <w:pPr>
              <w:spacing w:before="20" w:after="20"/>
            </w:pPr>
            <w:r>
              <w:rPr>
                <w:rFonts w:ascii="游ゴシック" w:hAnsi="游ゴシック" w:eastAsia="游ゴシック"/>
                <w:b w:val="0"/>
                <w:i w:val="0"/>
                <w:sz w:val="17"/>
              </w:rPr>
              <w:t>「児童発達支援、放課後等デイサービス、保育所等訪問支援、居宅訪問型児童発達支援、医療型児童発達支援、障がい児入所支援」</w:t>
            </w:r>
          </w:p>
        </w:tc>
        <w:tc>
          <w:tcPr>
            <w:tcW w:type="dxa" w:w="2381"/>
            <w:vAlign w:val="center"/>
          </w:tcPr>
          <w:p>
            <w:pPr>
              <w:spacing w:before="20" w:after="20"/>
            </w:pPr>
            <w:r>
              <w:rPr>
                <w:rFonts w:ascii="游ゴシック" w:hAnsi="游ゴシック" w:eastAsia="游ゴシック"/>
                <w:b w:val="0"/>
                <w:i w:val="0"/>
                <w:sz w:val="17"/>
              </w:rPr>
              <w:t>医療型児童発達支援は令和4年法律第66号による児童福祉法の改正により令和6年4月1日から児童発達支援に一元化された</w:t>
            </w:r>
          </w:p>
        </w:tc>
        <w:tc>
          <w:tcPr>
            <w:tcW w:type="dxa" w:w="2721"/>
            <w:vAlign w:val="center"/>
          </w:tcPr>
          <w:p>
            <w:pPr>
              <w:spacing w:before="20" w:after="20"/>
            </w:pPr>
            <w:r>
              <w:rPr>
                <w:rFonts w:ascii="游ゴシック" w:hAnsi="游ゴシック" w:eastAsia="游ゴシック"/>
                <w:b w:val="0"/>
                <w:i w:val="0"/>
                <w:sz w:val="17"/>
              </w:rPr>
              <w:t>区分から落とす。障がい児入所支援は実施主体が都道府県であり市町村障害児福祉計画では見込量を定めないため、見込量の区分としては掲げず注記に回す</w:t>
            </w:r>
          </w:p>
        </w:tc>
        <w:tc>
          <w:tcPr>
            <w:tcW w:type="dxa" w:w="794"/>
            <w:vAlign w:val="center"/>
          </w:tcPr>
          <w:p>
            <w:pPr>
              <w:spacing w:before="20" w:after="20"/>
            </w:pPr>
            <w:r>
              <w:rPr>
                <w:rFonts w:ascii="游ゴシック" w:hAnsi="游ゴシック" w:eastAsia="游ゴシック"/>
                <w:b w:val="0"/>
                <w:i w:val="0"/>
                <w:sz w:val="17"/>
              </w:rPr>
              <w:t>重大</w:t>
            </w:r>
          </w:p>
        </w:tc>
      </w:tr>
      <w:tr>
        <w:tc>
          <w:tcPr>
            <w:tcW w:type="dxa" w:w="1701"/>
            <w:vAlign w:val="center"/>
          </w:tcPr>
          <w:p>
            <w:pPr>
              <w:spacing w:before="20" w:after="20"/>
            </w:pPr>
            <w:r>
              <w:rPr>
                <w:rFonts w:ascii="游ゴシック" w:hAnsi="游ゴシック" w:eastAsia="游ゴシック"/>
                <w:b w:val="0"/>
                <w:i w:val="0"/>
                <w:sz w:val="17"/>
              </w:rPr>
              <w:t>骨子案 第2版 表2（関連計画との関係）</w:t>
            </w:r>
          </w:p>
        </w:tc>
        <w:tc>
          <w:tcPr>
            <w:tcW w:type="dxa" w:w="2154"/>
            <w:vAlign w:val="center"/>
          </w:tcPr>
          <w:p>
            <w:pPr>
              <w:spacing w:before="20" w:after="20"/>
            </w:pPr>
            <w:r>
              <w:rPr>
                <w:rFonts w:ascii="游ゴシック" w:hAnsi="游ゴシック" w:eastAsia="游ゴシック"/>
                <w:b w:val="0"/>
                <w:i w:val="0"/>
                <w:sz w:val="17"/>
              </w:rPr>
              <w:t>第5次福島県障がい者計画と並べて「第8期福島県障がい福祉計画・第4期福島県障がい児福祉計画」を掲げている</w:t>
            </w:r>
          </w:p>
        </w:tc>
        <w:tc>
          <w:tcPr>
            <w:tcW w:type="dxa" w:w="2381"/>
            <w:vAlign w:val="center"/>
          </w:tcPr>
          <w:p>
            <w:pPr>
              <w:spacing w:before="20" w:after="20"/>
            </w:pPr>
            <w:r>
              <w:rPr>
                <w:rFonts w:ascii="游ゴシック" w:hAnsi="游ゴシック" w:eastAsia="游ゴシック"/>
                <w:b w:val="0"/>
                <w:i w:val="0"/>
                <w:sz w:val="17"/>
              </w:rPr>
              <w:t>第8期・第4期の県計画は令和8年10月8日時点で未公表。現行は第7期・第3期（令和6〜8年度）である</w:t>
            </w:r>
          </w:p>
        </w:tc>
        <w:tc>
          <w:tcPr>
            <w:tcW w:type="dxa" w:w="2721"/>
            <w:vAlign w:val="center"/>
          </w:tcPr>
          <w:p>
            <w:pPr>
              <w:spacing w:before="20" w:after="20"/>
            </w:pPr>
            <w:r>
              <w:rPr>
                <w:rFonts w:ascii="游ゴシック" w:hAnsi="游ゴシック" w:eastAsia="游ゴシック"/>
                <w:b w:val="0"/>
                <w:i w:val="0"/>
                <w:sz w:val="17"/>
              </w:rPr>
              <w:t>現行の第7期・第3期を掲げ、第8期・第4期は「本計画と同じ期間を対象とするが未公表」として別に書く。本計画の確定までに公表されない場合の取扱いを県に確認する</w:t>
            </w:r>
          </w:p>
        </w:tc>
        <w:tc>
          <w:tcPr>
            <w:tcW w:type="dxa" w:w="794"/>
            <w:vAlign w:val="center"/>
          </w:tcPr>
          <w:p>
            <w:pPr>
              <w:spacing w:before="20" w:after="20"/>
            </w:pPr>
            <w:r>
              <w:rPr>
                <w:rFonts w:ascii="游ゴシック" w:hAnsi="游ゴシック" w:eastAsia="游ゴシック"/>
                <w:b w:val="0"/>
                <w:i w:val="0"/>
                <w:sz w:val="17"/>
              </w:rPr>
              <w:t>重要</w:t>
            </w:r>
          </w:p>
        </w:tc>
      </w:tr>
    </w:tbl>
    <w:p>
      <w:pPr>
        <w:spacing w:after="40"/>
      </w:pPr>
    </w:p>
    <w:p>
      <w:pPr>
        <w:pStyle w:val="Heading1"/>
        <w:keepNext/>
        <w:spacing w:before="240" w:after="100"/>
      </w:pPr>
      <w:bookmarkStart w:id="105" w:name="_Toc_005"/>
      <w:r>
        <w:rPr>
          <w:rFonts w:ascii="游ゴシック" w:hAnsi="游ゴシック" w:eastAsia="游ゴシック"/>
          <w:b/>
          <w:i w:val="0"/>
          <w:color w:val="2E74B5"/>
          <w:sz w:val="30"/>
        </w:rPr>
        <w:t>3　県中障がい保健福祉圏域計画から小野町に効く事実</w:t>
      </w:r>
      <w:bookmarkEnd w:id="105"/>
    </w:p>
    <w:p>
      <w:pPr>
        <w:spacing w:before="60" w:after="60"/>
      </w:pPr>
      <w:r>
        <w:rPr>
          <w:rFonts w:ascii="游ゴシック" w:hAnsi="游ゴシック" w:eastAsia="游ゴシック"/>
          <w:b w:val="0"/>
          <w:i w:val="0"/>
          <w:sz w:val="21"/>
        </w:rPr>
        <w:t>県計画は7つの圏域ごとに圏域計画を置いています。小野町が属する県中圏域の計画から、本件に効く事実を整理しました。いずれも原典から引いています。</w:t>
      </w:r>
    </w:p>
    <w:p>
      <w:pPr>
        <w:keepNext/>
        <w:spacing w:before="200" w:after="40"/>
      </w:pPr>
      <w:r>
        <w:rPr>
          <w:rFonts w:ascii="游ゴシック" w:hAnsi="游ゴシック" w:eastAsia="游ゴシック"/>
          <w:b/>
          <w:i w:val="0"/>
          <w:color w:val="1F4D78"/>
          <w:sz w:val="22"/>
        </w:rPr>
        <w:t>【表5】県中圏域計画の確認結果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87"/>
        <w:gridCol w:w="3969"/>
        <w:gridCol w:w="4195"/>
      </w:tblGrid>
      <w:tr>
        <w:tc>
          <w:tcPr>
            <w:tcW w:type="dxa" w:w="158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県計画の記載（原典）</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小野町への意味</w:t>
            </w:r>
          </w:p>
        </w:tc>
      </w:tr>
      <w:tr>
        <w:tc>
          <w:tcPr>
            <w:tcW w:type="dxa" w:w="1587"/>
            <w:vAlign w:val="center"/>
          </w:tcPr>
          <w:p>
            <w:pPr>
              <w:spacing w:before="20" w:after="20"/>
            </w:pPr>
            <w:r>
              <w:rPr>
                <w:rFonts w:ascii="游ゴシック" w:hAnsi="游ゴシック" w:eastAsia="游ゴシック"/>
                <w:b w:val="0"/>
                <w:i w:val="0"/>
                <w:sz w:val="17"/>
              </w:rPr>
              <w:t>圏域の構成</w:t>
            </w:r>
          </w:p>
        </w:tc>
        <w:tc>
          <w:tcPr>
            <w:tcW w:type="dxa" w:w="3969"/>
            <w:vAlign w:val="center"/>
          </w:tcPr>
          <w:p>
            <w:pPr>
              <w:spacing w:before="20" w:after="20"/>
            </w:pPr>
            <w:r>
              <w:rPr>
                <w:rFonts w:ascii="游ゴシック" w:hAnsi="游ゴシック" w:eastAsia="游ゴシック"/>
                <w:b w:val="0"/>
                <w:i w:val="0"/>
                <w:sz w:val="17"/>
              </w:rPr>
              <w:t>郡山市、須賀川市、田村市、鏡石町、天栄村、石川町、玉川村、平田村、浅川町、古殿町、三春町、小野町（3市6町3村）</w:t>
            </w:r>
          </w:p>
        </w:tc>
        <w:tc>
          <w:tcPr>
            <w:tcW w:type="dxa" w:w="4195"/>
            <w:vAlign w:val="center"/>
          </w:tcPr>
          <w:p>
            <w:pPr>
              <w:spacing w:before="20" w:after="20"/>
            </w:pPr>
            <w:r>
              <w:rPr>
                <w:rFonts w:ascii="游ゴシック" w:hAnsi="游ゴシック" w:eastAsia="游ゴシック"/>
                <w:b w:val="0"/>
                <w:i w:val="0"/>
                <w:sz w:val="17"/>
              </w:rPr>
              <w:t>県が定める区域はこの12市町村。見込量の進行管理と県との計画協議はこの区域を単位として行われる。骨子案が「県中圏域」としている範囲はこれで確定する</w:t>
            </w:r>
          </w:p>
        </w:tc>
      </w:tr>
      <w:tr>
        <w:tc>
          <w:tcPr>
            <w:tcW w:type="dxa" w:w="1587"/>
            <w:vAlign w:val="center"/>
          </w:tcPr>
          <w:p>
            <w:pPr>
              <w:spacing w:before="20" w:after="20"/>
            </w:pPr>
            <w:r>
              <w:rPr>
                <w:rFonts w:ascii="游ゴシック" w:hAnsi="游ゴシック" w:eastAsia="游ゴシック"/>
                <w:b w:val="0"/>
                <w:i w:val="0"/>
                <w:sz w:val="17"/>
              </w:rPr>
              <w:t>地域生活支援拠点</w:t>
            </w:r>
          </w:p>
        </w:tc>
        <w:tc>
          <w:tcPr>
            <w:tcW w:type="dxa" w:w="3969"/>
            <w:vAlign w:val="center"/>
          </w:tcPr>
          <w:p>
            <w:pPr>
              <w:spacing w:before="20" w:after="20"/>
            </w:pPr>
            <w:r>
              <w:rPr>
                <w:rFonts w:ascii="游ゴシック" w:hAnsi="游ゴシック" w:eastAsia="游ゴシック"/>
                <w:b w:val="0"/>
                <w:i w:val="0"/>
                <w:sz w:val="17"/>
              </w:rPr>
              <w:t>「県中圏域では地域生活支援拠点が郡山市は令和2年度に、田村地方（田村市、三春町及び小野町）は令和3年度に整備されました」。令和8年度の数値目標は12市町村・4か所、コーディネーター7人、検証及び検討の実施5回</w:t>
            </w:r>
          </w:p>
        </w:tc>
        <w:tc>
          <w:tcPr>
            <w:tcW w:type="dxa" w:w="4195"/>
            <w:vAlign w:val="center"/>
          </w:tcPr>
          <w:p>
            <w:pPr>
              <w:spacing w:before="20" w:after="20"/>
            </w:pPr>
            <w:r>
              <w:rPr>
                <w:rFonts w:ascii="游ゴシック" w:hAnsi="游ゴシック" w:eastAsia="游ゴシック"/>
                <w:b w:val="0"/>
                <w:i w:val="0"/>
                <w:sz w:val="17"/>
              </w:rPr>
              <w:t>小野町の拠点は田村地方として令和3年度に整備済みであることが県計画に明記されている。骨子案の「田村地方基幹相談支援センター、県中圏域、近隣市町村との連携」という立て方は県計画と整合する。第3部第1章5（地域生活支援の充実）の根拠として引ける</w:t>
            </w:r>
          </w:p>
        </w:tc>
      </w:tr>
      <w:tr>
        <w:tc>
          <w:tcPr>
            <w:tcW w:type="dxa" w:w="1587"/>
            <w:vAlign w:val="center"/>
          </w:tcPr>
          <w:p>
            <w:pPr>
              <w:spacing w:before="20" w:after="20"/>
            </w:pPr>
            <w:r>
              <w:rPr>
                <w:rFonts w:ascii="游ゴシック" w:hAnsi="游ゴシック" w:eastAsia="游ゴシック"/>
                <w:b w:val="0"/>
                <w:i w:val="0"/>
                <w:sz w:val="17"/>
              </w:rPr>
              <w:t>基幹相談支援センター</w:t>
            </w:r>
          </w:p>
        </w:tc>
        <w:tc>
          <w:tcPr>
            <w:tcW w:type="dxa" w:w="3969"/>
            <w:vAlign w:val="center"/>
          </w:tcPr>
          <w:p>
            <w:pPr>
              <w:spacing w:before="20" w:after="20"/>
            </w:pPr>
            <w:r>
              <w:rPr>
                <w:rFonts w:ascii="游ゴシック" w:hAnsi="游ゴシック" w:eastAsia="游ゴシック"/>
                <w:b w:val="0"/>
                <w:i w:val="0"/>
                <w:sz w:val="17"/>
              </w:rPr>
              <w:t>令和8年度の数値目標は12市町村（圏域の全市町村。複数市町村による共同設置を含む）。県全体では59市町村（全市町村）で、令和4年度実績は44市町村</w:t>
            </w:r>
          </w:p>
        </w:tc>
        <w:tc>
          <w:tcPr>
            <w:tcW w:type="dxa" w:w="4195"/>
            <w:vAlign w:val="center"/>
          </w:tcPr>
          <w:p>
            <w:pPr>
              <w:spacing w:before="20" w:after="20"/>
            </w:pPr>
            <w:r>
              <w:rPr>
                <w:rFonts w:ascii="游ゴシック" w:hAnsi="游ゴシック" w:eastAsia="游ゴシック"/>
                <w:b w:val="0"/>
                <w:i w:val="0"/>
                <w:sz w:val="17"/>
              </w:rPr>
              <w:t>小野町は田村地方基幹相談支援センターの共同設置に参画しており、県の目標の数え方では設置済みに当たる。第3部第1章6（相談支援体制の充実・強化等）でその旨を明記できる</w:t>
            </w:r>
          </w:p>
        </w:tc>
      </w:tr>
      <w:tr>
        <w:tc>
          <w:tcPr>
            <w:tcW w:type="dxa" w:w="1587"/>
            <w:vAlign w:val="center"/>
          </w:tcPr>
          <w:p>
            <w:pPr>
              <w:spacing w:before="20" w:after="20"/>
            </w:pPr>
            <w:r>
              <w:rPr>
                <w:rFonts w:ascii="游ゴシック" w:hAnsi="游ゴシック" w:eastAsia="游ゴシック"/>
                <w:b w:val="0"/>
                <w:i w:val="0"/>
                <w:sz w:val="17"/>
              </w:rPr>
              <w:t>施設入所者の地域生活移行</w:t>
            </w:r>
          </w:p>
        </w:tc>
        <w:tc>
          <w:tcPr>
            <w:tcW w:type="dxa" w:w="3969"/>
            <w:vAlign w:val="center"/>
          </w:tcPr>
          <w:p>
            <w:pPr>
              <w:spacing w:before="20" w:after="20"/>
            </w:pPr>
            <w:r>
              <w:rPr>
                <w:rFonts w:ascii="游ゴシック" w:hAnsi="游ゴシック" w:eastAsia="游ゴシック"/>
                <w:b w:val="0"/>
                <w:i w:val="0"/>
                <w:sz w:val="17"/>
              </w:rPr>
              <w:t>令和4年度末の圏域の施設入所者491人、令和8年度末の移行者15人（3.0％以上）、削減見込20人（4.0％以上）、令和8年度末471人</w:t>
            </w:r>
          </w:p>
        </w:tc>
        <w:tc>
          <w:tcPr>
            <w:tcW w:type="dxa" w:w="4195"/>
            <w:vAlign w:val="center"/>
          </w:tcPr>
          <w:p>
            <w:pPr>
              <w:spacing w:before="20" w:after="20"/>
            </w:pPr>
            <w:r>
              <w:rPr>
                <w:rFonts w:ascii="游ゴシック" w:hAnsi="游ゴシック" w:eastAsia="游ゴシック"/>
                <w:b w:val="0"/>
                <w:i w:val="0"/>
                <w:sz w:val="17"/>
              </w:rPr>
              <w:t>県は国の率（移行6％・削減5％）を下回る3.0％・4.0％で設定している。前回計画が入所者26人に対し移行31人・削減22人という成り立たない目標を置いていた問題（前回からの追加と構成案 3章）の立て直しに、圏域の水準を引ける</w:t>
            </w:r>
          </w:p>
        </w:tc>
      </w:tr>
      <w:tr>
        <w:tc>
          <w:tcPr>
            <w:tcW w:type="dxa" w:w="1587"/>
            <w:vAlign w:val="center"/>
          </w:tcPr>
          <w:p>
            <w:pPr>
              <w:spacing w:before="20" w:after="20"/>
            </w:pPr>
            <w:r>
              <w:rPr>
                <w:rFonts w:ascii="游ゴシック" w:hAnsi="游ゴシック" w:eastAsia="游ゴシック"/>
                <w:b w:val="0"/>
                <w:i w:val="0"/>
                <w:sz w:val="17"/>
              </w:rPr>
              <w:t>一般就労への移行</w:t>
            </w:r>
          </w:p>
        </w:tc>
        <w:tc>
          <w:tcPr>
            <w:tcW w:type="dxa" w:w="3969"/>
            <w:vAlign w:val="center"/>
          </w:tcPr>
          <w:p>
            <w:pPr>
              <w:spacing w:before="20" w:after="20"/>
            </w:pPr>
            <w:r>
              <w:rPr>
                <w:rFonts w:ascii="游ゴシック" w:hAnsi="游ゴシック" w:eastAsia="游ゴシック"/>
                <w:b w:val="0"/>
                <w:i w:val="0"/>
                <w:sz w:val="17"/>
              </w:rPr>
              <w:t>令和3年度50人→令和8年度75人（1.5倍）。就労移行支援41→57人（1.39倍）、就労継続支援A型3→11人（3.6倍）、B型7→19人（2.7倍）。就労定着支援の利用者数28→72人（2.5倍）。令和8年度の就労移行支援事業所17か所（うち一般就労移行5割以上が11か所）</w:t>
            </w:r>
          </w:p>
        </w:tc>
        <w:tc>
          <w:tcPr>
            <w:tcW w:type="dxa" w:w="4195"/>
            <w:vAlign w:val="center"/>
          </w:tcPr>
          <w:p>
            <w:pPr>
              <w:spacing w:before="20" w:after="20"/>
            </w:pPr>
            <w:r>
              <w:rPr>
                <w:rFonts w:ascii="游ゴシック" w:hAnsi="游ゴシック" w:eastAsia="游ゴシック"/>
                <w:b w:val="0"/>
                <w:i w:val="0"/>
                <w:sz w:val="17"/>
              </w:rPr>
              <w:t>圏域の倍率は国の基本指針（1.28倍以上）を上回る。第3部第1章3（一般就労移行）の目標設定で圏域の水準に触れる</w:t>
            </w:r>
          </w:p>
        </w:tc>
      </w:tr>
      <w:tr>
        <w:tc>
          <w:tcPr>
            <w:tcW w:type="dxa" w:w="1587"/>
            <w:vAlign w:val="center"/>
          </w:tcPr>
          <w:p>
            <w:pPr>
              <w:spacing w:before="20" w:after="20"/>
            </w:pPr>
            <w:r>
              <w:rPr>
                <w:rFonts w:ascii="游ゴシック" w:hAnsi="游ゴシック" w:eastAsia="游ゴシック"/>
                <w:b w:val="0"/>
                <w:i w:val="0"/>
                <w:sz w:val="17"/>
              </w:rPr>
              <w:t>圏域の課題（県計画 4）</w:t>
            </w:r>
          </w:p>
        </w:tc>
        <w:tc>
          <w:tcPr>
            <w:tcW w:type="dxa" w:w="3969"/>
            <w:vAlign w:val="center"/>
          </w:tcPr>
          <w:p>
            <w:pPr>
              <w:spacing w:before="20" w:after="20"/>
            </w:pPr>
            <w:r>
              <w:rPr>
                <w:rFonts w:ascii="游ゴシック" w:hAnsi="游ゴシック" w:eastAsia="游ゴシック"/>
                <w:b w:val="0"/>
                <w:i w:val="0"/>
                <w:sz w:val="17"/>
              </w:rPr>
              <w:t>①一般相談支援事業所は設置場所に偏りがあり絶対数も不足②就労移行支援事業所14か所・就労定着支援事業所14か所は市部に集中し絶対数も不足③計画相談を担う相談支援専門員の不足④「郡山市、須賀川市、田村市及び石川町を除く町村においては、社会基盤が少ない状況」</w:t>
            </w:r>
          </w:p>
        </w:tc>
        <w:tc>
          <w:tcPr>
            <w:tcW w:type="dxa" w:w="4195"/>
            <w:vAlign w:val="center"/>
          </w:tcPr>
          <w:p>
            <w:pPr>
              <w:spacing w:before="20" w:after="20"/>
            </w:pPr>
            <w:r>
              <w:rPr>
                <w:rFonts w:ascii="游ゴシック" w:hAnsi="游ゴシック" w:eastAsia="游ゴシック"/>
                <w:b w:val="0"/>
                <w:i w:val="0"/>
                <w:sz w:val="17"/>
              </w:rPr>
              <w:t>④は小野町が名指しに当たる。町内に事業所が少ないことは県計画が圏域の課題として挙げている事実であり、第3部第3章（見込量確保のための方策）の前提として引ける</w:t>
            </w:r>
          </w:p>
        </w:tc>
      </w:tr>
      <w:tr>
        <w:tc>
          <w:tcPr>
            <w:tcW w:type="dxa" w:w="1587"/>
            <w:vAlign w:val="center"/>
          </w:tcPr>
          <w:p>
            <w:pPr>
              <w:spacing w:before="20" w:after="20"/>
            </w:pPr>
            <w:r>
              <w:rPr>
                <w:rFonts w:ascii="游ゴシック" w:hAnsi="游ゴシック" w:eastAsia="游ゴシック"/>
                <w:b w:val="0"/>
                <w:i w:val="0"/>
                <w:sz w:val="17"/>
              </w:rPr>
              <w:t>圏域の方策（県計画 5）</w:t>
            </w:r>
          </w:p>
        </w:tc>
        <w:tc>
          <w:tcPr>
            <w:tcW w:type="dxa" w:w="3969"/>
            <w:vAlign w:val="center"/>
          </w:tcPr>
          <w:p>
            <w:pPr>
              <w:spacing w:before="20" w:after="20"/>
            </w:pPr>
            <w:r>
              <w:rPr>
                <w:rFonts w:ascii="游ゴシック" w:hAnsi="游ゴシック" w:eastAsia="游ゴシック"/>
                <w:b w:val="0"/>
                <w:i w:val="0"/>
                <w:sz w:val="17"/>
              </w:rPr>
              <w:t>地域自立支援協議会や事業所等と連携した社会資源の確保の検討、コーディネーターの確保と人材育成の支援、「県中地域障害者就業・生活支援センター」を中心とした関係機関の連携、共生型サービスを提供する事業所の開拓</w:t>
            </w:r>
          </w:p>
        </w:tc>
        <w:tc>
          <w:tcPr>
            <w:tcW w:type="dxa" w:w="4195"/>
            <w:vAlign w:val="center"/>
          </w:tcPr>
          <w:p>
            <w:pPr>
              <w:spacing w:before="20" w:after="20"/>
            </w:pPr>
            <w:r>
              <w:rPr>
                <w:rFonts w:ascii="游ゴシック" w:hAnsi="游ゴシック" w:eastAsia="游ゴシック"/>
                <w:b w:val="0"/>
                <w:i w:val="0"/>
                <w:sz w:val="17"/>
              </w:rPr>
              <w:t>県が用意している支援策。別表第二 五㈠㈡の関係機関との連携（A-7）に「県中地域障害者就業・生活支援センター」を具体名で書ける</w:t>
            </w:r>
          </w:p>
        </w:tc>
      </w:tr>
    </w:tbl>
    <w:p>
      <w:pPr>
        <w:spacing w:after="40"/>
      </w:pPr>
    </w:p>
    <w:p>
      <w:pPr>
        <w:pStyle w:val="Heading1"/>
        <w:keepNext/>
        <w:spacing w:before="240" w:after="100"/>
      </w:pPr>
      <w:bookmarkStart w:id="106" w:name="_Toc_006"/>
      <w:r>
        <w:rPr>
          <w:rFonts w:ascii="游ゴシック" w:hAnsi="游ゴシック" w:eastAsia="游ゴシック"/>
          <w:b/>
          <w:i w:val="0"/>
          <w:color w:val="2E74B5"/>
          <w:sz w:val="30"/>
        </w:rPr>
        <w:t>4　作業の順序</w:t>
      </w:r>
      <w:bookmarkEnd w:id="106"/>
    </w:p>
    <w:p>
      <w:pPr>
        <w:spacing w:before="60" w:after="60"/>
      </w:pPr>
      <w:r>
        <w:rPr>
          <w:rFonts w:ascii="游ゴシック" w:hAnsi="游ゴシック" w:eastAsia="游ゴシック"/>
          <w:b w:val="0"/>
          <w:i w:val="0"/>
          <w:sz w:val="21"/>
        </w:rPr>
        <w:t>骨子案から素案に移す段で、次の順に手を入れるのが筋だと考えます。</w:t>
      </w:r>
    </w:p>
    <w:p>
      <w:pPr>
        <w:keepNext/>
        <w:spacing w:before="200" w:after="40"/>
      </w:pPr>
      <w:r>
        <w:rPr>
          <w:rFonts w:ascii="游ゴシック" w:hAnsi="游ゴシック" w:eastAsia="游ゴシック"/>
          <w:b/>
          <w:i w:val="0"/>
          <w:color w:val="1F4D78"/>
          <w:sz w:val="22"/>
        </w:rPr>
        <w:t>【表6】手当ての順序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2835"/>
        <w:gridCol w:w="2494"/>
        <w:gridCol w:w="3855"/>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手当て</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対象</w:t>
            </w:r>
          </w:p>
        </w:tc>
        <w:tc>
          <w:tcPr>
            <w:tcW w:type="dxa" w:w="3855"/>
            <w:shd w:val="clear" w:fill="1F3864"/>
            <w:vAlign w:val="center"/>
          </w:tcPr>
          <w:p>
            <w:pPr>
              <w:spacing w:before="20" w:after="20"/>
              <w:jc w:val="center"/>
            </w:pPr>
            <w:r>
              <w:rPr>
                <w:rFonts w:ascii="游ゴシック" w:hAnsi="游ゴシック" w:eastAsia="游ゴシック"/>
                <w:b/>
                <w:i w:val="0"/>
                <w:color w:val="FFFFFF"/>
                <w:sz w:val="17"/>
              </w:rPr>
              <w:t>理由</w:t>
            </w:r>
          </w:p>
        </w:tc>
      </w:tr>
      <w:tr>
        <w:tc>
          <w:tcPr>
            <w:tcW w:type="dxa" w:w="567"/>
            <w:vAlign w:val="center"/>
          </w:tcPr>
          <w:p>
            <w:pPr>
              <w:spacing w:before="20" w:after="20"/>
            </w:pPr>
            <w:r>
              <w:rPr>
                <w:rFonts w:ascii="游ゴシック" w:hAnsi="游ゴシック" w:eastAsia="游ゴシック"/>
                <w:b w:val="0"/>
                <w:i w:val="0"/>
                <w:sz w:val="17"/>
              </w:rPr>
              <w:t>1</w:t>
            </w:r>
          </w:p>
        </w:tc>
        <w:tc>
          <w:tcPr>
            <w:tcW w:type="dxa" w:w="2835"/>
            <w:vAlign w:val="center"/>
          </w:tcPr>
          <w:p>
            <w:pPr>
              <w:spacing w:before="20" w:after="20"/>
            </w:pPr>
            <w:r>
              <w:rPr>
                <w:rFonts w:ascii="游ゴシック" w:hAnsi="游ゴシック" w:eastAsia="游ゴシック"/>
                <w:b w:val="0"/>
                <w:i w:val="0"/>
                <w:sz w:val="17"/>
              </w:rPr>
              <w:t>骨子案 表2の県障がい者計画の満了年度を直す</w:t>
            </w:r>
          </w:p>
        </w:tc>
        <w:tc>
          <w:tcPr>
            <w:tcW w:type="dxa" w:w="2494"/>
            <w:vAlign w:val="center"/>
          </w:tcPr>
          <w:p>
            <w:pPr>
              <w:spacing w:before="20" w:after="20"/>
            </w:pPr>
            <w:r>
              <w:rPr>
                <w:rFonts w:ascii="游ゴシック" w:hAnsi="游ゴシック" w:eastAsia="游ゴシック"/>
                <w:b w:val="0"/>
                <w:i w:val="0"/>
                <w:sz w:val="17"/>
              </w:rPr>
              <w:t>第1部第1章4（関連計画との関係）</w:t>
            </w:r>
          </w:p>
        </w:tc>
        <w:tc>
          <w:tcPr>
            <w:tcW w:type="dxa" w:w="3855"/>
            <w:vAlign w:val="center"/>
          </w:tcPr>
          <w:p>
            <w:pPr>
              <w:spacing w:before="20" w:after="20"/>
            </w:pPr>
            <w:r>
              <w:rPr>
                <w:rFonts w:ascii="游ゴシック" w:hAnsi="游ゴシック" w:eastAsia="游ゴシック"/>
                <w:b w:val="0"/>
                <w:i w:val="0"/>
                <w:sz w:val="17"/>
              </w:rPr>
              <w:t>県計画の期間の取り違えは計画の立て方そのものに響く。「後半は次期計画の策定状況を踏まえる」という前提が消える</w:t>
            </w:r>
          </w:p>
        </w:tc>
      </w:tr>
      <w:tr>
        <w:tc>
          <w:tcPr>
            <w:tcW w:type="dxa" w:w="567"/>
            <w:vAlign w:val="center"/>
          </w:tcPr>
          <w:p>
            <w:pPr>
              <w:spacing w:before="20" w:after="20"/>
            </w:pPr>
            <w:r>
              <w:rPr>
                <w:rFonts w:ascii="游ゴシック" w:hAnsi="游ゴシック" w:eastAsia="游ゴシック"/>
                <w:b w:val="0"/>
                <w:i w:val="0"/>
                <w:sz w:val="17"/>
              </w:rPr>
              <w:t>2</w:t>
            </w:r>
          </w:p>
        </w:tc>
        <w:tc>
          <w:tcPr>
            <w:tcW w:type="dxa" w:w="2835"/>
            <w:vAlign w:val="center"/>
          </w:tcPr>
          <w:p>
            <w:pPr>
              <w:spacing w:before="20" w:after="20"/>
            </w:pPr>
            <w:r>
              <w:rPr>
                <w:rFonts w:ascii="游ゴシック" w:hAnsi="游ゴシック" w:eastAsia="游ゴシック"/>
                <w:b w:val="0"/>
                <w:i w:val="0"/>
                <w:sz w:val="17"/>
              </w:rPr>
              <w:t>廃止区分「医療型児童発達支援」を見込量の区分から落とす</w:t>
            </w:r>
          </w:p>
        </w:tc>
        <w:tc>
          <w:tcPr>
            <w:tcW w:type="dxa" w:w="2494"/>
            <w:vAlign w:val="center"/>
          </w:tcPr>
          <w:p>
            <w:pPr>
              <w:spacing w:before="20" w:after="20"/>
            </w:pPr>
            <w:r>
              <w:rPr>
                <w:rFonts w:ascii="游ゴシック" w:hAnsi="游ゴシック" w:eastAsia="游ゴシック"/>
                <w:b w:val="0"/>
                <w:i w:val="0"/>
                <w:sz w:val="17"/>
              </w:rPr>
              <w:t>第3部第2章7（障がい児支援）</w:t>
            </w:r>
          </w:p>
        </w:tc>
        <w:tc>
          <w:tcPr>
            <w:tcW w:type="dxa" w:w="3855"/>
            <w:vAlign w:val="center"/>
          </w:tcPr>
          <w:p>
            <w:pPr>
              <w:spacing w:before="20" w:after="20"/>
            </w:pPr>
            <w:r>
              <w:rPr>
                <w:rFonts w:ascii="游ゴシック" w:hAnsi="游ゴシック" w:eastAsia="游ゴシック"/>
                <w:b w:val="0"/>
                <w:i w:val="0"/>
                <w:sz w:val="17"/>
              </w:rPr>
              <w:t>廃止区分のまま素案に移すと、県との計画協議で指摘を受ける</w:t>
            </w:r>
          </w:p>
        </w:tc>
      </w:tr>
      <w:tr>
        <w:tc>
          <w:tcPr>
            <w:tcW w:type="dxa" w:w="567"/>
            <w:vAlign w:val="center"/>
          </w:tcPr>
          <w:p>
            <w:pPr>
              <w:spacing w:before="20" w:after="20"/>
            </w:pPr>
            <w:r>
              <w:rPr>
                <w:rFonts w:ascii="游ゴシック" w:hAnsi="游ゴシック" w:eastAsia="游ゴシック"/>
                <w:b w:val="0"/>
                <w:i w:val="0"/>
                <w:sz w:val="17"/>
              </w:rPr>
              <w:t>3</w:t>
            </w:r>
          </w:p>
        </w:tc>
        <w:tc>
          <w:tcPr>
            <w:tcW w:type="dxa" w:w="2835"/>
            <w:vAlign w:val="center"/>
          </w:tcPr>
          <w:p>
            <w:pPr>
              <w:spacing w:before="20" w:after="20"/>
            </w:pPr>
            <w:r>
              <w:rPr>
                <w:rFonts w:ascii="游ゴシック" w:hAnsi="游ゴシック" w:eastAsia="游ゴシック"/>
                <w:b w:val="0"/>
                <w:i w:val="0"/>
                <w:sz w:val="17"/>
              </w:rPr>
              <w:t>告示が「設定するものとする」とした2要件を算定方法に書く</w:t>
            </w:r>
          </w:p>
        </w:tc>
        <w:tc>
          <w:tcPr>
            <w:tcW w:type="dxa" w:w="2494"/>
            <w:vAlign w:val="center"/>
          </w:tcPr>
          <w:p>
            <w:pPr>
              <w:spacing w:before="20" w:after="20"/>
            </w:pPr>
            <w:r>
              <w:rPr>
                <w:rFonts w:ascii="游ゴシック" w:hAnsi="游ゴシック" w:eastAsia="游ゴシック"/>
                <w:b w:val="0"/>
                <w:i w:val="0"/>
                <w:sz w:val="17"/>
              </w:rPr>
              <w:t>第3部第2章1（見込量の算定方法）</w:t>
            </w:r>
          </w:p>
        </w:tc>
        <w:tc>
          <w:tcPr>
            <w:tcW w:type="dxa" w:w="3855"/>
            <w:vAlign w:val="center"/>
          </w:tcPr>
          <w:p>
            <w:pPr>
              <w:spacing w:before="20" w:after="20"/>
            </w:pPr>
            <w:r>
              <w:rPr>
                <w:rFonts w:ascii="游ゴシック" w:hAnsi="游ゴシック" w:eastAsia="游ゴシック"/>
                <w:b w:val="0"/>
                <w:i w:val="0"/>
                <w:sz w:val="17"/>
              </w:rPr>
              <w:t>A-1・A-2。義務に近い要件であり、満たさないまま確定できない</w:t>
            </w:r>
          </w:p>
        </w:tc>
      </w:tr>
      <w:tr>
        <w:tc>
          <w:tcPr>
            <w:tcW w:type="dxa" w:w="567"/>
            <w:vAlign w:val="center"/>
          </w:tcPr>
          <w:p>
            <w:pPr>
              <w:spacing w:before="20" w:after="20"/>
            </w:pPr>
            <w:r>
              <w:rPr>
                <w:rFonts w:ascii="游ゴシック" w:hAnsi="游ゴシック" w:eastAsia="游ゴシック"/>
                <w:b w:val="0"/>
                <w:i w:val="0"/>
                <w:sz w:val="17"/>
              </w:rPr>
              <w:t>4</w:t>
            </w:r>
          </w:p>
        </w:tc>
        <w:tc>
          <w:tcPr>
            <w:tcW w:type="dxa" w:w="2835"/>
            <w:vAlign w:val="center"/>
          </w:tcPr>
          <w:p>
            <w:pPr>
              <w:spacing w:before="20" w:after="20"/>
            </w:pPr>
            <w:r>
              <w:rPr>
                <w:rFonts w:ascii="游ゴシック" w:hAnsi="游ゴシック" w:eastAsia="游ゴシック"/>
                <w:b w:val="0"/>
                <w:i w:val="0"/>
                <w:sz w:val="17"/>
              </w:rPr>
              <w:t>基盤整備量（利用者数）の項目を置く</w:t>
            </w:r>
          </w:p>
        </w:tc>
        <w:tc>
          <w:tcPr>
            <w:tcW w:type="dxa" w:w="2494"/>
            <w:vAlign w:val="center"/>
          </w:tcPr>
          <w:p>
            <w:pPr>
              <w:spacing w:before="20" w:after="20"/>
            </w:pPr>
            <w:r>
              <w:rPr>
                <w:rFonts w:ascii="游ゴシック" w:hAnsi="游ゴシック" w:eastAsia="游ゴシック"/>
                <w:b w:val="0"/>
                <w:i w:val="0"/>
                <w:sz w:val="17"/>
              </w:rPr>
              <w:t>第3部第1章2（精神障害にも対応した地域包括ケア）</w:t>
            </w:r>
          </w:p>
        </w:tc>
        <w:tc>
          <w:tcPr>
            <w:tcW w:type="dxa" w:w="3855"/>
            <w:vAlign w:val="center"/>
          </w:tcPr>
          <w:p>
            <w:pPr>
              <w:spacing w:before="20" w:after="20"/>
            </w:pPr>
            <w:r>
              <w:rPr>
                <w:rFonts w:ascii="游ゴシック" w:hAnsi="游ゴシック" w:eastAsia="游ゴシック"/>
                <w:b w:val="0"/>
                <w:i w:val="0"/>
                <w:sz w:val="17"/>
              </w:rPr>
              <w:t>A-8。別表第二 三㈠⑤の「定めなければならない事項」。県の第8期計画の算定値を待つ形でも項目は要る</w:t>
            </w:r>
          </w:p>
        </w:tc>
      </w:tr>
      <w:tr>
        <w:tc>
          <w:tcPr>
            <w:tcW w:type="dxa" w:w="567"/>
            <w:vAlign w:val="center"/>
          </w:tcPr>
          <w:p>
            <w:pPr>
              <w:spacing w:before="20" w:after="20"/>
            </w:pPr>
            <w:r>
              <w:rPr>
                <w:rFonts w:ascii="游ゴシック" w:hAnsi="游ゴシック" w:eastAsia="游ゴシック"/>
                <w:b w:val="0"/>
                <w:i w:val="0"/>
                <w:sz w:val="17"/>
              </w:rPr>
              <w:t>5</w:t>
            </w:r>
          </w:p>
        </w:tc>
        <w:tc>
          <w:tcPr>
            <w:tcW w:type="dxa" w:w="2835"/>
            <w:vAlign w:val="center"/>
          </w:tcPr>
          <w:p>
            <w:pPr>
              <w:spacing w:before="20" w:after="20"/>
            </w:pPr>
            <w:r>
              <w:rPr>
                <w:rFonts w:ascii="游ゴシック" w:hAnsi="游ゴシック" w:eastAsia="游ゴシック"/>
                <w:b w:val="0"/>
                <w:i w:val="0"/>
                <w:sz w:val="17"/>
              </w:rPr>
              <w:t>関係機関との連携を節として立てる</w:t>
            </w:r>
          </w:p>
        </w:tc>
        <w:tc>
          <w:tcPr>
            <w:tcW w:type="dxa" w:w="2494"/>
            <w:vAlign w:val="center"/>
          </w:tcPr>
          <w:p>
            <w:pPr>
              <w:spacing w:before="20" w:after="20"/>
            </w:pPr>
            <w:r>
              <w:rPr>
                <w:rFonts w:ascii="游ゴシック" w:hAnsi="游ゴシック" w:eastAsia="游ゴシック"/>
                <w:b w:val="0"/>
                <w:i w:val="0"/>
                <w:sz w:val="17"/>
              </w:rPr>
              <w:t>第3部第3章（見込量確保のための方策）</w:t>
            </w:r>
          </w:p>
        </w:tc>
        <w:tc>
          <w:tcPr>
            <w:tcW w:type="dxa" w:w="3855"/>
            <w:vAlign w:val="center"/>
          </w:tcPr>
          <w:p>
            <w:pPr>
              <w:spacing w:before="20" w:after="20"/>
            </w:pPr>
            <w:r>
              <w:rPr>
                <w:rFonts w:ascii="游ゴシック" w:hAnsi="游ゴシック" w:eastAsia="游ゴシック"/>
                <w:b w:val="0"/>
                <w:i w:val="0"/>
                <w:sz w:val="17"/>
              </w:rPr>
              <w:t>A-7。別表第二 五㈠㈡。県中地域障害者就業・生活支援センターを具体名で書ける</w:t>
            </w:r>
          </w:p>
        </w:tc>
      </w:tr>
      <w:tr>
        <w:tc>
          <w:tcPr>
            <w:tcW w:type="dxa" w:w="567"/>
            <w:vAlign w:val="center"/>
          </w:tcPr>
          <w:p>
            <w:pPr>
              <w:spacing w:before="20" w:after="20"/>
            </w:pPr>
            <w:r>
              <w:rPr>
                <w:rFonts w:ascii="游ゴシック" w:hAnsi="游ゴシック" w:eastAsia="游ゴシック"/>
                <w:b w:val="0"/>
                <w:i w:val="0"/>
                <w:sz w:val="17"/>
              </w:rPr>
              <w:t>6</w:t>
            </w:r>
          </w:p>
        </w:tc>
        <w:tc>
          <w:tcPr>
            <w:tcW w:type="dxa" w:w="2835"/>
            <w:vAlign w:val="center"/>
          </w:tcPr>
          <w:p>
            <w:pPr>
              <w:spacing w:before="20" w:after="20"/>
            </w:pPr>
            <w:r>
              <w:rPr>
                <w:rFonts w:ascii="游ゴシック" w:hAnsi="游ゴシック" w:eastAsia="游ゴシック"/>
                <w:b w:val="0"/>
                <w:i w:val="0"/>
                <w:sz w:val="17"/>
              </w:rPr>
              <w:t>県の成果目標と圏域目標を成果目標の節に引く</w:t>
            </w:r>
          </w:p>
        </w:tc>
        <w:tc>
          <w:tcPr>
            <w:tcW w:type="dxa" w:w="2494"/>
            <w:vAlign w:val="center"/>
          </w:tcPr>
          <w:p>
            <w:pPr>
              <w:spacing w:before="20" w:after="20"/>
            </w:pPr>
            <w:r>
              <w:rPr>
                <w:rFonts w:ascii="游ゴシック" w:hAnsi="游ゴシック" w:eastAsia="游ゴシック"/>
                <w:b w:val="0"/>
                <w:i w:val="0"/>
                <w:sz w:val="17"/>
              </w:rPr>
              <w:t>第3部第1章（成果目標）</w:t>
            </w:r>
          </w:p>
        </w:tc>
        <w:tc>
          <w:tcPr>
            <w:tcW w:type="dxa" w:w="3855"/>
            <w:vAlign w:val="center"/>
          </w:tcPr>
          <w:p>
            <w:pPr>
              <w:spacing w:before="20" w:after="20"/>
            </w:pPr>
            <w:r>
              <w:rPr>
                <w:rFonts w:ascii="游ゴシック" w:hAnsi="游ゴシック" w:eastAsia="游ゴシック"/>
                <w:b w:val="0"/>
                <w:i w:val="0"/>
                <w:sz w:val="17"/>
              </w:rPr>
              <w:t>B-4・B-5。町の目標水準を説明する材料になる</w:t>
            </w:r>
          </w:p>
        </w:tc>
      </w:tr>
    </w:tbl>
    <w:p>
      <w:pPr>
        <w:spacing w:after="40"/>
      </w:pPr>
    </w:p>
    <w:p>
      <w:pPr>
        <w:pStyle w:val="Heading1"/>
        <w:keepNext/>
        <w:spacing w:before="240" w:after="100"/>
      </w:pPr>
      <w:bookmarkStart w:id="107" w:name="_Toc_007"/>
      <w:r>
        <w:rPr>
          <w:rFonts w:ascii="游ゴシック" w:hAnsi="游ゴシック" w:eastAsia="游ゴシック"/>
          <w:b/>
          <w:i w:val="0"/>
          <w:color w:val="2E74B5"/>
          <w:sz w:val="30"/>
        </w:rPr>
        <w:t>5　確認事項</w:t>
      </w:r>
      <w:bookmarkEnd w:id="107"/>
    </w:p>
    <w:p>
      <w:pPr>
        <w:keepNext/>
        <w:spacing w:before="200" w:after="40"/>
      </w:pPr>
      <w:r>
        <w:rPr>
          <w:rFonts w:ascii="游ゴシック" w:hAnsi="游ゴシック" w:eastAsia="游ゴシック"/>
          <w:b/>
          <w:i w:val="0"/>
          <w:color w:val="1F4D78"/>
          <w:sz w:val="22"/>
        </w:rPr>
        <w:t>【表7】確認事項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6463"/>
        <w:gridCol w:w="2551"/>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先</w:t>
            </w:r>
          </w:p>
        </w:tc>
        <w:tc>
          <w:tcPr>
            <w:tcW w:type="dxa" w:w="6463"/>
            <w:shd w:val="clear" w:fill="1F3864"/>
            <w:vAlign w:val="center"/>
          </w:tcPr>
          <w:p>
            <w:pPr>
              <w:spacing w:before="20" w:after="20"/>
              <w:jc w:val="center"/>
            </w:pPr>
            <w:r>
              <w:rPr>
                <w:rFonts w:ascii="游ゴシック" w:hAnsi="游ゴシック" w:eastAsia="游ゴシック"/>
                <w:b/>
                <w:i w:val="0"/>
                <w:color w:val="FFFFFF"/>
                <w:sz w:val="17"/>
              </w:rPr>
              <w:t>確認内容</w:t>
            </w:r>
          </w:p>
        </w:tc>
        <w:tc>
          <w:tcPr>
            <w:tcW w:type="dxa" w:w="2551"/>
            <w:shd w:val="clear" w:fill="1F3864"/>
            <w:vAlign w:val="center"/>
          </w:tcPr>
          <w:p>
            <w:pPr>
              <w:spacing w:before="20" w:after="20"/>
              <w:jc w:val="center"/>
            </w:pPr>
            <w:r>
              <w:rPr>
                <w:rFonts w:ascii="游ゴシック" w:hAnsi="游ゴシック" w:eastAsia="游ゴシック"/>
                <w:b/>
                <w:i w:val="0"/>
                <w:color w:val="FFFFFF"/>
                <w:sz w:val="17"/>
              </w:rPr>
              <w:t>関係する項目</w:t>
            </w:r>
          </w:p>
        </w:tc>
      </w:tr>
      <w:tr>
        <w:tc>
          <w:tcPr>
            <w:tcW w:type="dxa" w:w="737"/>
            <w:vAlign w:val="center"/>
          </w:tcPr>
          <w:p>
            <w:pPr>
              <w:spacing w:before="20" w:after="20"/>
            </w:pPr>
            <w:r>
              <w:rPr>
                <w:rFonts w:ascii="游ゴシック" w:hAnsi="游ゴシック" w:eastAsia="游ゴシック"/>
                <w:b w:val="0"/>
                <w:i w:val="0"/>
                <w:sz w:val="17"/>
              </w:rPr>
              <w:t>町</w:t>
            </w:r>
          </w:p>
        </w:tc>
        <w:tc>
          <w:tcPr>
            <w:tcW w:type="dxa" w:w="6463"/>
            <w:vAlign w:val="center"/>
          </w:tcPr>
          <w:p>
            <w:pPr>
              <w:spacing w:before="20" w:after="20"/>
            </w:pPr>
            <w:r>
              <w:rPr>
                <w:rFonts w:ascii="游ゴシック" w:hAnsi="游ゴシック" w:eastAsia="游ゴシック"/>
                <w:b w:val="0"/>
                <w:i w:val="0"/>
                <w:sz w:val="17"/>
              </w:rPr>
              <w:t>継続入所者（整備法による改正前の児童福祉法の指定知的障害児施設等に入所していた18歳以上の者で、現に指定障害者支援施設等に引き続き入所している者）の有無</w:t>
            </w:r>
          </w:p>
        </w:tc>
        <w:tc>
          <w:tcPr>
            <w:tcW w:type="dxa" w:w="2551"/>
            <w:vAlign w:val="center"/>
          </w:tcPr>
          <w:p>
            <w:pPr>
              <w:spacing w:before="20" w:after="20"/>
            </w:pPr>
            <w:r>
              <w:rPr>
                <w:rFonts w:ascii="游ゴシック" w:hAnsi="游ゴシック" w:eastAsia="游ゴシック"/>
                <w:b w:val="0"/>
                <w:i w:val="0"/>
                <w:sz w:val="17"/>
              </w:rPr>
              <w:t>A-1</w:t>
            </w:r>
          </w:p>
        </w:tc>
      </w:tr>
      <w:tr>
        <w:tc>
          <w:tcPr>
            <w:tcW w:type="dxa" w:w="737"/>
            <w:vAlign w:val="center"/>
          </w:tcPr>
          <w:p>
            <w:pPr>
              <w:spacing w:before="20" w:after="20"/>
            </w:pPr>
            <w:r>
              <w:rPr>
                <w:rFonts w:ascii="游ゴシック" w:hAnsi="游ゴシック" w:eastAsia="游ゴシック"/>
                <w:b w:val="0"/>
                <w:i w:val="0"/>
                <w:sz w:val="17"/>
              </w:rPr>
              <w:t>町</w:t>
            </w:r>
          </w:p>
        </w:tc>
        <w:tc>
          <w:tcPr>
            <w:tcW w:type="dxa" w:w="6463"/>
            <w:vAlign w:val="center"/>
          </w:tcPr>
          <w:p>
            <w:pPr>
              <w:spacing w:before="20" w:after="20"/>
            </w:pPr>
            <w:r>
              <w:rPr>
                <w:rFonts w:ascii="游ゴシック" w:hAnsi="游ゴシック" w:eastAsia="游ゴシック"/>
                <w:b w:val="0"/>
                <w:i w:val="0"/>
                <w:sz w:val="17"/>
              </w:rPr>
              <w:t>町内の保育所・認定こども園・放課後児童クラブにおける障がい児の受入人数と加配の状況</w:t>
            </w:r>
          </w:p>
        </w:tc>
        <w:tc>
          <w:tcPr>
            <w:tcW w:type="dxa" w:w="2551"/>
            <w:vAlign w:val="center"/>
          </w:tcPr>
          <w:p>
            <w:pPr>
              <w:spacing w:before="20" w:after="20"/>
            </w:pPr>
            <w:r>
              <w:rPr>
                <w:rFonts w:ascii="游ゴシック" w:hAnsi="游ゴシック" w:eastAsia="游ゴシック"/>
                <w:b w:val="0"/>
                <w:i w:val="0"/>
                <w:sz w:val="17"/>
              </w:rPr>
              <w:t>A-2</w:t>
            </w:r>
          </w:p>
        </w:tc>
      </w:tr>
      <w:tr>
        <w:tc>
          <w:tcPr>
            <w:tcW w:type="dxa" w:w="737"/>
            <w:vAlign w:val="center"/>
          </w:tcPr>
          <w:p>
            <w:pPr>
              <w:spacing w:before="20" w:after="20"/>
            </w:pPr>
            <w:r>
              <w:rPr>
                <w:rFonts w:ascii="游ゴシック" w:hAnsi="游ゴシック" w:eastAsia="游ゴシック"/>
                <w:b w:val="0"/>
                <w:i w:val="0"/>
                <w:sz w:val="17"/>
              </w:rPr>
              <w:t>町</w:t>
            </w:r>
          </w:p>
        </w:tc>
        <w:tc>
          <w:tcPr>
            <w:tcW w:type="dxa" w:w="6463"/>
            <w:vAlign w:val="center"/>
          </w:tcPr>
          <w:p>
            <w:pPr>
              <w:spacing w:before="20" w:after="20"/>
            </w:pPr>
            <w:r>
              <w:rPr>
                <w:rFonts w:ascii="游ゴシック" w:hAnsi="游ゴシック" w:eastAsia="游ゴシック"/>
                <w:b w:val="0"/>
                <w:i w:val="0"/>
                <w:sz w:val="17"/>
              </w:rPr>
              <w:t>精神病床に1年以上入院している町民の実数と年齢区分</w:t>
            </w:r>
          </w:p>
        </w:tc>
        <w:tc>
          <w:tcPr>
            <w:tcW w:type="dxa" w:w="2551"/>
            <w:vAlign w:val="center"/>
          </w:tcPr>
          <w:p>
            <w:pPr>
              <w:spacing w:before="20" w:after="20"/>
            </w:pPr>
            <w:r>
              <w:rPr>
                <w:rFonts w:ascii="游ゴシック" w:hAnsi="游ゴシック" w:eastAsia="游ゴシック"/>
                <w:b w:val="0"/>
                <w:i w:val="0"/>
                <w:sz w:val="17"/>
              </w:rPr>
              <w:t>A-8</w:t>
            </w:r>
          </w:p>
        </w:tc>
      </w:tr>
      <w:tr>
        <w:tc>
          <w:tcPr>
            <w:tcW w:type="dxa" w:w="737"/>
            <w:vAlign w:val="center"/>
          </w:tcPr>
          <w:p>
            <w:pPr>
              <w:spacing w:before="20" w:after="20"/>
            </w:pPr>
            <w:r>
              <w:rPr>
                <w:rFonts w:ascii="游ゴシック" w:hAnsi="游ゴシック" w:eastAsia="游ゴシック"/>
                <w:b w:val="0"/>
                <w:i w:val="0"/>
                <w:sz w:val="17"/>
              </w:rPr>
              <w:t>町</w:t>
            </w:r>
          </w:p>
        </w:tc>
        <w:tc>
          <w:tcPr>
            <w:tcW w:type="dxa" w:w="6463"/>
            <w:vAlign w:val="center"/>
          </w:tcPr>
          <w:p>
            <w:pPr>
              <w:spacing w:before="20" w:after="20"/>
            </w:pPr>
            <w:r>
              <w:rPr>
                <w:rFonts w:ascii="游ゴシック" w:hAnsi="游ゴシック" w:eastAsia="游ゴシック"/>
                <w:b w:val="0"/>
                <w:i w:val="0"/>
                <w:sz w:val="17"/>
              </w:rPr>
              <w:t>田村地方基幹相談支援センターの設置年度・共同設置の構成市町村・機能分担</w:t>
            </w:r>
          </w:p>
        </w:tc>
        <w:tc>
          <w:tcPr>
            <w:tcW w:type="dxa" w:w="2551"/>
            <w:vAlign w:val="center"/>
          </w:tcPr>
          <w:p>
            <w:pPr>
              <w:spacing w:before="20" w:after="20"/>
            </w:pPr>
            <w:r>
              <w:rPr>
                <w:rFonts w:ascii="游ゴシック" w:hAnsi="游ゴシック" w:eastAsia="游ゴシック"/>
                <w:b w:val="0"/>
                <w:i w:val="0"/>
                <w:sz w:val="17"/>
              </w:rPr>
              <w:t>B-5</w:t>
            </w:r>
          </w:p>
        </w:tc>
      </w:tr>
      <w:tr>
        <w:tc>
          <w:tcPr>
            <w:tcW w:type="dxa" w:w="737"/>
            <w:vAlign w:val="center"/>
          </w:tcPr>
          <w:p>
            <w:pPr>
              <w:spacing w:before="20" w:after="20"/>
            </w:pPr>
            <w:r>
              <w:rPr>
                <w:rFonts w:ascii="游ゴシック" w:hAnsi="游ゴシック" w:eastAsia="游ゴシック"/>
                <w:b w:val="0"/>
                <w:i w:val="0"/>
                <w:sz w:val="17"/>
              </w:rPr>
              <w:t>県</w:t>
            </w:r>
          </w:p>
        </w:tc>
        <w:tc>
          <w:tcPr>
            <w:tcW w:type="dxa" w:w="6463"/>
            <w:vAlign w:val="center"/>
          </w:tcPr>
          <w:p>
            <w:pPr>
              <w:spacing w:before="20" w:after="20"/>
            </w:pPr>
            <w:r>
              <w:rPr>
                <w:rFonts w:ascii="游ゴシック" w:hAnsi="游ゴシック" w:eastAsia="游ゴシック"/>
                <w:b w:val="0"/>
                <w:i w:val="0"/>
                <w:sz w:val="17"/>
              </w:rPr>
              <w:t>第8期福島県障がい福祉計画・第4期障がい児福祉計画の策定時期と公表の予定。別表第四の三の項による令和11年度末の基盤整備量の算定値と市町村への配分の考え方</w:t>
            </w:r>
          </w:p>
        </w:tc>
        <w:tc>
          <w:tcPr>
            <w:tcW w:type="dxa" w:w="2551"/>
            <w:vAlign w:val="center"/>
          </w:tcPr>
          <w:p>
            <w:pPr>
              <w:spacing w:before="20" w:after="20"/>
            </w:pPr>
            <w:r>
              <w:rPr>
                <w:rFonts w:ascii="游ゴシック" w:hAnsi="游ゴシック" w:eastAsia="游ゴシック"/>
                <w:b w:val="0"/>
                <w:i w:val="0"/>
                <w:sz w:val="17"/>
              </w:rPr>
              <w:t>A-8・B-4</w:t>
            </w:r>
          </w:p>
        </w:tc>
      </w:tr>
      <w:tr>
        <w:tc>
          <w:tcPr>
            <w:tcW w:type="dxa" w:w="737"/>
            <w:vAlign w:val="center"/>
          </w:tcPr>
          <w:p>
            <w:pPr>
              <w:spacing w:before="20" w:after="20"/>
            </w:pPr>
            <w:r>
              <w:rPr>
                <w:rFonts w:ascii="游ゴシック" w:hAnsi="游ゴシック" w:eastAsia="游ゴシック"/>
                <w:b w:val="0"/>
                <w:i w:val="0"/>
                <w:sz w:val="17"/>
              </w:rPr>
              <w:t>県</w:t>
            </w:r>
          </w:p>
        </w:tc>
        <w:tc>
          <w:tcPr>
            <w:tcW w:type="dxa" w:w="6463"/>
            <w:vAlign w:val="center"/>
          </w:tcPr>
          <w:p>
            <w:pPr>
              <w:spacing w:before="20" w:after="20"/>
            </w:pPr>
            <w:r>
              <w:rPr>
                <w:rFonts w:ascii="游ゴシック" w:hAnsi="游ゴシック" w:eastAsia="游ゴシック"/>
                <w:b w:val="0"/>
                <w:i w:val="0"/>
                <w:sz w:val="17"/>
              </w:rPr>
              <w:t>県中障がい保健福祉圏域で圏域確保が認められる機能の範囲</w:t>
            </w:r>
          </w:p>
        </w:tc>
        <w:tc>
          <w:tcPr>
            <w:tcW w:type="dxa" w:w="2551"/>
            <w:vAlign w:val="center"/>
          </w:tcPr>
          <w:p>
            <w:pPr>
              <w:spacing w:before="20" w:after="20"/>
            </w:pPr>
            <w:r>
              <w:rPr>
                <w:rFonts w:ascii="游ゴシック" w:hAnsi="游ゴシック" w:eastAsia="游ゴシック"/>
                <w:b w:val="0"/>
                <w:i w:val="0"/>
                <w:sz w:val="17"/>
              </w:rPr>
              <w:t>B-1・B-4</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障がい計画　指針との不整合の点検と県計画の反映</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障がい計画　指針との不整合の点検と県計画の反映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障がい計画　指針との不整合の点検と県計画の反映</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