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w:t>
      </w:r>
    </w:p>
    <w:p>
      <w:pPr>
        <w:spacing w:after="280" w:line="269" w:lineRule="auto"/>
        <w:jc w:val="center"/>
      </w:pPr>
      <w:r>
        <w:rPr>
          <w:rFonts w:ascii="游ゴシック" w:hAnsi="游ゴシック" w:eastAsia="游ゴシック"/>
          <w:b w:val="0"/>
          <w:sz w:val="24"/>
        </w:rPr>
        <w:t>協議用素案（令和8年9月時点）</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22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43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44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51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53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62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71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73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81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82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86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89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93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94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103</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105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105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106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108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108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108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109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110</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方向が示されている。職員の賃金改善、ICT機器の活用、事業所間の連携等が前提とされる。対象となるサービスの種類、具体の人員配置基準及び報酬の評価の方法は、介護給付費分科会において検討されることとされており、確定していない。</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事業の具体の内容、費用の負担及び事業費の上限は、社会保障審議会介護保険部会において引き続き検討されており、確定していない。</w:t>
            </w:r>
          </w:p>
        </w:tc>
        <w:tc>
          <w:tcPr>
            <w:tcW w:type="dxa" w:w="3396"/>
          </w:tcPr>
          <w:p>
            <w:r/>
            <w:r>
              <w:rPr>
                <w:rFonts w:ascii="游ゴシック" w:hAnsi="游ゴシック" w:eastAsia="游ゴシック"/>
                <w:sz w:val="17"/>
              </w:rPr>
              <w:t>全28サービス種別のうち11種別で域内事業所がない状況（第2章第3節1）に対応し得る制度である。24時間対応サービスの確保方策の選択肢の一つとして検討します（第6章第4節1）。制度の内容が確定するまでは、必要となる事業費及び人員は算定できません。</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推計値による試算では、美瑛町は密度要件を満たす可能性が高い。東川町・東神楽町は密度要件を満たさないと見込まれる。</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ないため（第2章第3節1）、⑵の判断の対象となり得る。①②に該当しない町についても、当該サービス類型について指定の対象となる可能性があ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p>
      <w:pPr>
        <w:spacing w:after="20" w:line="269" w:lineRule="auto"/>
        <w:jc w:val="right"/>
      </w:pPr>
      <w:r>
        <w:rPr>
          <w:rFonts w:ascii="游ゴシック" w:hAnsi="游ゴシック" w:eastAsia="游ゴシック"/>
          <w:b w:val="0"/>
          <w:sz w:val="17"/>
        </w:rPr>
        <w:t>基準②（75歳以上人口密度）による町別の試算</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基準②に係る試算</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密度要件を満たす可能性が高い。推計値は閾値を大きく下回り、65歳以上人口が約3,675人であることからも、確定値により判定が変わる余地は小さいと考えられる。</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密度要件を満たさないと見込まれる。推計値は閾値を21〜25％上回るが、確定値による検証を要する。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密度要件を満たさないと見込まれる。推計値は閾値を4倍以上上回る。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注）本表の75歳以上人口は按分による推計値であり、密度及び判定はいずれも試算です。また、基準は令和8年6月29日の社会保障審議会介護保険部会に素案として示されたものであり、省令等により確定したものではありません。最終的な対象地域は、確定した基準及び構成町の意向を踏まえて北海道が定めるものであり、本計画はその指定の結果により確認します［要確認］。基準①の根拠となる特別地域加算の対象地域の告示を確認できていないため、構成3町が①に該当するかどうかの判定は本計画では行っていません［要確認］。</w:t>
        <w:b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改正事項</w:t>
            </w:r>
          </w:p>
        </w:tc>
        <w:tc>
          <w:tcPr>
            <w:tcW w:type="dxa" w:w="3835"/>
            <w:shd w:val="clear" w:color="auto" w:fill="DCE6F1"/>
          </w:tcPr>
          <w:p>
            <w:pPr>
              <w:jc w:val="center"/>
            </w:pPr>
            <w:r/>
            <w:r>
              <w:rPr>
                <w:rFonts w:ascii="游ゴシック" w:hAnsi="游ゴシック" w:eastAsia="游ゴシック"/>
                <w:b/>
                <w:sz w:val="17"/>
              </w:rPr>
              <w:t>内容</w:t>
            </w:r>
          </w:p>
        </w:tc>
        <w:tc>
          <w:tcPr>
            <w:tcW w:type="dxa" w:w="350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rPr>
          <w:cantSplit/>
        </w:trP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rPr>
          <w:cantSplit/>
        </w:trP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rPr>
          <w:cantSplit/>
        </w:trP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rPr>
          <w:cantSplit/>
        </w:trP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rPr>
          <w:cantSplit/>
        </w:trP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rPr>
          <w:cantSplit/>
        </w:trP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line="269" w:lineRule="auto"/>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180" w:after="10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この見直しにより交付額が増加する保険者について、一定の取組を実施していない場合に増加額の一部を減額する仕組みが示されています（第5項）。</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から、第3段階①及び②をそれぞれア・イに区分し、第3段階①イ及び第3段階②イの負担限度額を引き上げる。</w:t>
            </w:r>
          </w:p>
        </w:tc>
        <w:tc>
          <w:tcPr>
            <w:tcW w:type="dxa" w:w="1674"/>
          </w:tcPr>
          <w:p>
            <w:r/>
            <w:r>
              <w:rPr>
                <w:rFonts w:ascii="游ゴシック" w:hAnsi="游ゴシック" w:eastAsia="游ゴシック"/>
                <w:sz w:val="17"/>
              </w:rPr>
              <w:t>令和8年8月（区分の細分化を伴わない見直し）及び令和9年度から（区分の細分化を伴う見直し）</w:t>
            </w:r>
          </w:p>
        </w:tc>
        <w:tc>
          <w:tcPr>
            <w:tcW w:type="dxa" w:w="2758"/>
          </w:tcPr>
          <w:p>
            <w:r/>
            <w:r>
              <w:rPr>
                <w:rFonts w:ascii="游ゴシック" w:hAnsi="游ゴシック" w:eastAsia="游ゴシック"/>
                <w:sz w:val="17"/>
              </w:rPr>
              <w:t>第6章第7節に反映します。負担限度額、対象者数及び影響額は、省令・告示等が示された時点で確認します［要確認］。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見直しの内容及び施行の時期は定まっていない。</w:t>
            </w:r>
          </w:p>
        </w:tc>
        <w:tc>
          <w:tcPr>
            <w:tcW w:type="dxa" w:w="1674"/>
          </w:tcPr>
          <w:p>
            <w:r/>
            <w:r>
              <w:rPr>
                <w:rFonts w:ascii="游ゴシック" w:hAnsi="游ゴシック" w:eastAsia="游ゴシック"/>
                <w:sz w:val="17"/>
              </w:rPr>
              <w:t>令和9年度の開始前までに結論（施行の時期は未定）</w:t>
            </w:r>
          </w:p>
        </w:tc>
        <w:tc>
          <w:tcPr>
            <w:tcW w:type="dxa" w:w="2758"/>
          </w:tcPr>
          <w:p>
            <w:r/>
            <w:r>
              <w:rPr>
                <w:rFonts w:ascii="游ゴシック" w:hAnsi="游ゴシック" w:eastAsia="游ゴシック"/>
                <w:sz w:val="17"/>
              </w:rPr>
              <w:t>利用者負担割合の変更は給付費の見込みに影響します。本計画は現行の基準により算定しており、見直しを織り込んでいません。基準及び施行の時期が示された時点で、第6章第3節の給付費及び第6章第6節の保険料収納必要額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w:t>
            </w:r>
          </w:p>
        </w:tc>
        <w:tc>
          <w:tcPr>
            <w:tcW w:type="dxa" w:w="1674"/>
          </w:tcPr>
          <w:p>
            <w:r/>
            <w:r>
              <w:rPr>
                <w:rFonts w:ascii="游ゴシック" w:hAnsi="游ゴシック" w:eastAsia="游ゴシック"/>
                <w:sz w:val="17"/>
              </w:rPr>
              <w:t>令和8年度</w:t>
            </w:r>
          </w:p>
        </w:tc>
        <w:tc>
          <w:tcPr>
            <w:tcW w:type="dxa" w:w="2758"/>
          </w:tcPr>
          <w:p>
            <w:r/>
            <w:r>
              <w:rPr>
                <w:rFonts w:ascii="游ゴシック" w:hAnsi="游ゴシック" w:eastAsia="游ゴシック"/>
                <w:sz w:val="17"/>
              </w:rPr>
              <w:t>第6章第2節・第3節の見込量及び給付費は令和7年度の単価により算定しています。令和8年度改定は当該単価に反映されていないため、改定率が示された時点で令和9年度改定とあわせて反映します［要確認］。</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pPr>
        <w:pStyle w:val="Heading3"/>
        <w:spacing w:before="180" w:after="100"/>
      </w:pPr>
      <w:r>
        <w:rPr>
          <w:rFonts w:ascii="游ゴシック" w:hAnsi="游ゴシック" w:eastAsia="游ゴシック"/>
          <w:sz w:val="22"/>
        </w:rPr>
        <w:t>5 令和8年9月の社会保障審議会介護保険部会において示された事項</w:t>
      </w:r>
    </w:p>
    <w:p>
      <w:pPr>
        <w:spacing w:after="80" w:line="269" w:lineRule="auto"/>
      </w:pPr>
      <w:r>
        <w:rPr>
          <w:rFonts w:ascii="游ゴシック" w:hAnsi="游ゴシック" w:eastAsia="游ゴシック"/>
          <w:b w:val="0"/>
          <w:sz w:val="21"/>
        </w:rPr>
        <w:t>令和8年9月18日の社会保障審議会介護保険部会において、第10期計画の期間に関わる事項が示されました。制度として定まったもの、予算上の措置が予定されているもの、なお審議の段階にあるものが含まれるため、本計画における取扱いは事項ごとに分けて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93"/>
            <w:shd w:val="clear" w:color="auto" w:fill="DCE6F1"/>
          </w:tcPr>
          <w:p>
            <w:pPr>
              <w:spacing w:before="0"/>
              <w:jc w:val="center"/>
            </w:pPr>
            <w:r/>
            <w:r>
              <w:rPr>
                <w:rFonts w:ascii="游ゴシック" w:hAnsi="游ゴシック" w:eastAsia="游ゴシック"/>
                <w:b/>
                <w:sz w:val="17"/>
              </w:rPr>
              <w:t>事項</w:t>
            </w:r>
          </w:p>
        </w:tc>
        <w:tc>
          <w:tcPr>
            <w:tcW w:type="dxa" w:w="3598"/>
            <w:shd w:val="clear" w:color="auto" w:fill="DCE6F1"/>
          </w:tcPr>
          <w:p>
            <w:pPr>
              <w:jc w:val="center"/>
            </w:pPr>
            <w:r/>
            <w:r>
              <w:rPr>
                <w:rFonts w:ascii="游ゴシック" w:hAnsi="游ゴシック" w:eastAsia="游ゴシック"/>
                <w:b/>
                <w:sz w:val="17"/>
              </w:rPr>
              <w:t>内容</w:t>
            </w:r>
          </w:p>
        </w:tc>
        <w:tc>
          <w:tcPr>
            <w:tcW w:type="dxa" w:w="1704"/>
            <w:shd w:val="clear" w:color="auto" w:fill="DCE6F1"/>
          </w:tcPr>
          <w:p>
            <w:pPr>
              <w:jc w:val="center"/>
            </w:pPr>
            <w:r/>
            <w:r>
              <w:rPr>
                <w:rFonts w:ascii="游ゴシック" w:hAnsi="游ゴシック" w:eastAsia="游ゴシック"/>
                <w:b/>
                <w:sz w:val="17"/>
              </w:rPr>
              <w:t>時期</w:t>
            </w:r>
          </w:p>
        </w:tc>
        <w:tc>
          <w:tcPr>
            <w:tcW w:type="dxa" w:w="25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893"/>
          </w:tcPr>
          <w:p>
            <w:r/>
            <w:r>
              <w:rPr>
                <w:rFonts w:ascii="游ゴシック" w:hAnsi="游ゴシック" w:eastAsia="游ゴシック"/>
                <w:sz w:val="17"/>
              </w:rPr>
              <w:t>介護情報基盤の構築と活用</w:t>
            </w:r>
          </w:p>
        </w:tc>
        <w:tc>
          <w:tcPr>
            <w:tcW w:type="dxa" w:w="3598"/>
          </w:tcPr>
          <w:p>
            <w:r/>
            <w:r>
              <w:rPr>
                <w:rFonts w:ascii="游ゴシック" w:hAnsi="游ゴシック" w:eastAsia="游ゴシック"/>
                <w:sz w:val="17"/>
              </w:rPr>
              <w:t>要介護認定情報、請求情報、ケアプラン等を本人、介護事業所及び医療機関等が電子的に共有する介護情報基盤が構築される。市町村が介護情報基盤を活用するためには、①介護保険事務システムの標準化対応、②介護情報基盤へデータを送信するためのシステムの改修、③介護保険事務システムから介護情報基盤へのデータ移行が必要とされる。標準化対応を令和9年度中に完了する予定の自治体が約9割であることを踏まえ、全市町村において令和10年4月1日までにデータ移行を含めて完了し、介護情報基盤の活用を開始することを目指すこととされた。</w:t>
            </w:r>
          </w:p>
        </w:tc>
        <w:tc>
          <w:tcPr>
            <w:tcW w:type="dxa" w:w="1704"/>
          </w:tcPr>
          <w:p>
            <w:r/>
            <w:r>
              <w:rPr>
                <w:rFonts w:ascii="游ゴシック" w:hAnsi="游ゴシック" w:eastAsia="游ゴシック"/>
                <w:sz w:val="17"/>
              </w:rPr>
              <w:t>標準化対応の適合基準日 令和9年1月1日、本格運用開始日 令和10年4月1日</w:t>
            </w:r>
          </w:p>
        </w:tc>
        <w:tc>
          <w:tcPr>
            <w:tcW w:type="dxa" w:w="2556"/>
          </w:tcPr>
          <w:p>
            <w:r/>
            <w:r>
              <w:rPr>
                <w:rFonts w:ascii="游ゴシック" w:hAnsi="游ゴシック" w:eastAsia="游ゴシック"/>
                <w:sz w:val="17"/>
              </w:rPr>
              <w:t>第5章 基本目標1（医療と介護の連携）及び基本目標4（データ連携）に施策として位置づけます。構成3町の介護保険事務システムの標準化対応及びデータ移行の工程を確認し、令和9年度及び令和10年度の事務の工程を定めます［要確認］。</w:t>
            </w:r>
          </w:p>
        </w:tc>
      </w:tr>
      <w:tr>
        <w:trPr>
          <w:cantSplit/>
        </w:trPr>
        <w:tc>
          <w:tcPr>
            <w:tcW w:type="dxa" w:w="1893"/>
          </w:tcPr>
          <w:p>
            <w:r/>
            <w:r>
              <w:rPr>
                <w:rFonts w:ascii="游ゴシック" w:hAnsi="游ゴシック" w:eastAsia="游ゴシック"/>
                <w:sz w:val="17"/>
              </w:rPr>
              <w:t>ケアプランデータ連携機能の統合</w:t>
            </w:r>
          </w:p>
        </w:tc>
        <w:tc>
          <w:tcPr>
            <w:tcW w:type="dxa" w:w="3598"/>
          </w:tcPr>
          <w:p>
            <w:r/>
            <w:r>
              <w:rPr>
                <w:rFonts w:ascii="游ゴシック" w:hAnsi="游ゴシック" w:eastAsia="游ゴシック"/>
                <w:sz w:val="17"/>
              </w:rPr>
              <w:t>介護情報基盤とケアプランデータ連携機能を統合して一体的に運用する。統合後は、介護保険資格確認等WEBサービス（新システム）を利用することとなり、令和9年1月以降もケアプランのデータ連携を行うためには、介護事業所において新システムでの事業所及び管理者の登録を要する。令和9年4月以降は、介護ソフトとのAPI連携によるデータ連携が可能となる。全国の導入率は令和8年7月末日時点で53.1％である。</w:t>
            </w:r>
          </w:p>
        </w:tc>
        <w:tc>
          <w:tcPr>
            <w:tcW w:type="dxa" w:w="1704"/>
          </w:tcPr>
          <w:p>
            <w:r/>
            <w:r>
              <w:rPr>
                <w:rFonts w:ascii="游ゴシック" w:hAnsi="游ゴシック" w:eastAsia="游ゴシック"/>
                <w:sz w:val="17"/>
              </w:rPr>
              <w:t>統合 令和9年1月、API連携 令和9年4月以降</w:t>
            </w:r>
          </w:p>
        </w:tc>
        <w:tc>
          <w:tcPr>
            <w:tcW w:type="dxa" w:w="2556"/>
          </w:tcPr>
          <w:p>
            <w:r/>
            <w:r>
              <w:rPr>
                <w:rFonts w:ascii="游ゴシック" w:hAnsi="游ゴシック" w:eastAsia="游ゴシック"/>
                <w:sz w:val="17"/>
              </w:rPr>
              <w:t>第5章 基本目標4に事業として位置づけます。区域内の居宅介護支援事業所及びサービス事業所に対し、新システムへの移行の周知と登録の支援を行います。</w:t>
            </w:r>
          </w:p>
        </w:tc>
      </w:tr>
      <w:tr>
        <w:trPr>
          <w:cantSplit/>
        </w:trPr>
        <w:tc>
          <w:tcPr>
            <w:tcW w:type="dxa" w:w="1893"/>
          </w:tcPr>
          <w:p>
            <w:r/>
            <w:r>
              <w:rPr>
                <w:rFonts w:ascii="游ゴシック" w:hAnsi="游ゴシック" w:eastAsia="游ゴシック"/>
                <w:sz w:val="17"/>
              </w:rPr>
              <w:t>介護サービス事業者経営情報データベース</w:t>
            </w:r>
          </w:p>
        </w:tc>
        <w:tc>
          <w:tcPr>
            <w:tcW w:type="dxa" w:w="3598"/>
          </w:tcPr>
          <w:p>
            <w:r/>
            <w:r>
              <w:rPr>
                <w:rFonts w:ascii="游ゴシック" w:hAnsi="游ゴシック" w:eastAsia="游ゴシック"/>
                <w:sz w:val="17"/>
              </w:rPr>
              <w:t>介護サービス事業者の経営情報の報告が義務づけられ、国において分析結果が公表される。令和8年10月頃から本システムによる報告の受付が再開され（報告期限は令和8年12月末頃）、初年度及び2年度目の報告分の分析結果は、令和9年4月以降に介護保険部会に報告される予定とされている。公表は、属性等に応じて区分した分析結果とされている。</w:t>
            </w:r>
          </w:p>
        </w:tc>
        <w:tc>
          <w:tcPr>
            <w:tcW w:type="dxa" w:w="1704"/>
          </w:tcPr>
          <w:p>
            <w:r/>
            <w:r>
              <w:rPr>
                <w:rFonts w:ascii="游ゴシック" w:hAnsi="游ゴシック" w:eastAsia="游ゴシック"/>
                <w:sz w:val="17"/>
              </w:rPr>
              <w:t>令和8年10月から12月（報告）、令和9年4月以降（分析結果の報告）</w:t>
            </w:r>
          </w:p>
        </w:tc>
        <w:tc>
          <w:tcPr>
            <w:tcW w:type="dxa" w:w="2556"/>
          </w:tcPr>
          <w:p>
            <w:r/>
            <w:r>
              <w:rPr>
                <w:rFonts w:ascii="游ゴシック" w:hAnsi="游ゴシック" w:eastAsia="游ゴシック"/>
                <w:sz w:val="17"/>
              </w:rPr>
              <w:t>第5章 基本目標4において、サービスの供給の継続に関する状況の把握に活用します。市町村の区域を単位とする値が得られる範囲は示されていないため、公表された分析結果のうち用いられる範囲を確認して用います［要確認］。</w:t>
            </w:r>
          </w:p>
        </w:tc>
      </w:tr>
      <w:tr>
        <w:trPr>
          <w:cantSplit/>
        </w:trPr>
        <w:tc>
          <w:tcPr>
            <w:tcW w:type="dxa" w:w="1893"/>
          </w:tcPr>
          <w:p>
            <w:r/>
            <w:r>
              <w:rPr>
                <w:rFonts w:ascii="游ゴシック" w:hAnsi="游ゴシック" w:eastAsia="游ゴシック"/>
                <w:sz w:val="17"/>
              </w:rPr>
              <w:t>介護事業者の連携・協働化（都道府県との協定）</w:t>
            </w:r>
          </w:p>
        </w:tc>
        <w:tc>
          <w:tcPr>
            <w:tcW w:type="dxa" w:w="3598"/>
          </w:tcPr>
          <w:p>
            <w:r/>
            <w:r>
              <w:rPr>
                <w:rFonts w:ascii="游ゴシック" w:hAnsi="游ゴシック" w:eastAsia="游ゴシック"/>
                <w:sz w:val="17"/>
              </w:rPr>
              <w:t>一定期間の事業継続や事業者間の連携・協働を推進する法人・事業所が都道府県と協定を締結する仕組みが示された。令和9年度概算要求において、協定に基づく連携の取組に要する経費への支援及び連携に参画する事業所に対する介護テクノロジー導入支援の補助率の上乗せが盛り込まれている。協定に基づく取組の推進に関する都道府県及び市町村の果たすべき役割については、引き続き検討することとされている。</w:t>
            </w:r>
          </w:p>
        </w:tc>
        <w:tc>
          <w:tcPr>
            <w:tcW w:type="dxa" w:w="1704"/>
          </w:tcPr>
          <w:p>
            <w:r/>
            <w:r>
              <w:rPr>
                <w:rFonts w:ascii="游ゴシック" w:hAnsi="游ゴシック" w:eastAsia="游ゴシック"/>
                <w:sz w:val="17"/>
              </w:rPr>
              <w:t>令和9年度（予算上の措置）。市町村の役割は検討中</w:t>
            </w:r>
          </w:p>
        </w:tc>
        <w:tc>
          <w:tcPr>
            <w:tcW w:type="dxa" w:w="2556"/>
          </w:tcPr>
          <w:p>
            <w:r/>
            <w:r>
              <w:rPr>
                <w:rFonts w:ascii="游ゴシック" w:hAnsi="游ゴシック" w:eastAsia="游ゴシック"/>
                <w:sz w:val="17"/>
              </w:rPr>
              <w:t>第5章 基本目標3（サービス基盤）及び基本目標4（人材・経営支援）に、北海道との連携の方向として位置づけます。市町村の役割が示された時点で具体の取組を定めます［要確認］。</w:t>
            </w:r>
          </w:p>
        </w:tc>
      </w:tr>
      <w:tr>
        <w:trPr>
          <w:cantSplit/>
        </w:trPr>
        <w:tc>
          <w:tcPr>
            <w:tcW w:type="dxa" w:w="1893"/>
          </w:tcPr>
          <w:p>
            <w:r/>
            <w:r>
              <w:rPr>
                <w:rFonts w:ascii="游ゴシック" w:hAnsi="游ゴシック" w:eastAsia="游ゴシック"/>
                <w:sz w:val="17"/>
              </w:rPr>
              <w:t>第1号保険料の在り方</w:t>
            </w:r>
          </w:p>
        </w:tc>
        <w:tc>
          <w:tcPr>
            <w:tcW w:type="dxa" w:w="3598"/>
          </w:tcPr>
          <w:p>
            <w:r/>
            <w:r>
              <w:rPr>
                <w:rFonts w:ascii="游ゴシック" w:hAnsi="游ゴシック" w:eastAsia="游ゴシック"/>
                <w:sz w:val="17"/>
              </w:rPr>
              <w:t>当面第10期においては、高所得者の標準乗率の見直し及び住民税非課税の段階から課税の段階に上がるときの保険料の上昇の緩和を含めた国の定める標準段階の見直しなどにより、被保険者の負担能力に応じた保険料設定を図ることが考えられるとして、検討を行うことについて意見が求められた。現行の階段方式を含めた在り方の検討は中長期的な課題とされている。</w:t>
            </w:r>
          </w:p>
        </w:tc>
        <w:tc>
          <w:tcPr>
            <w:tcW w:type="dxa" w:w="1704"/>
          </w:tcPr>
          <w:p>
            <w:r/>
            <w:r>
              <w:rPr>
                <w:rFonts w:ascii="游ゴシック" w:hAnsi="游ゴシック" w:eastAsia="游ゴシック"/>
                <w:sz w:val="17"/>
              </w:rPr>
              <w:t>審議中。政令改正の時期は示されていない</w:t>
            </w:r>
          </w:p>
        </w:tc>
        <w:tc>
          <w:tcPr>
            <w:tcW w:type="dxa" w:w="2556"/>
          </w:tcPr>
          <w:p>
            <w:r/>
            <w:r>
              <w:rPr>
                <w:rFonts w:ascii="游ゴシック" w:hAnsi="游ゴシック" w:eastAsia="游ゴシック"/>
                <w:sz w:val="17"/>
              </w:rPr>
              <w:t>第6章第6節5に、標準段階が改められた場合の考え方を掲げます。本計画の算定は第9期の条例による16段階を据え置いており、見直しを織り込んでいません。政令が公布された時点で段階数及び乗率を確認して再算定し、条例の改正の手続を行います［要確認］。</w:t>
            </w:r>
          </w:p>
        </w:tc>
      </w:tr>
      <w:tr>
        <w:trPr>
          <w:cantSplit/>
        </w:trPr>
        <w:tc>
          <w:tcPr>
            <w:tcW w:type="dxa" w:w="1893"/>
          </w:tcPr>
          <w:p>
            <w:r/>
            <w:r>
              <w:rPr>
                <w:rFonts w:ascii="游ゴシック" w:hAnsi="游ゴシック" w:eastAsia="游ゴシック"/>
                <w:sz w:val="17"/>
              </w:rPr>
              <w:t>介護給付適正化の取組と調整交付金</w:t>
            </w:r>
          </w:p>
        </w:tc>
        <w:tc>
          <w:tcPr>
            <w:tcW w:type="dxa" w:w="3598"/>
          </w:tcPr>
          <w:p>
            <w:r/>
            <w:r>
              <w:rPr>
                <w:rFonts w:ascii="游ゴシック" w:hAnsi="游ゴシック" w:eastAsia="游ゴシック"/>
                <w:sz w:val="17"/>
              </w:rPr>
              <w:t>調整交付金の年齢区分の精緻化により交付額が増加する保険者について、①介護給付適正化の主要3事業（要介護認定の適正化、ケアプラン等の点検、医療情報との突合・縦覧点検）のいずれかを実施していない場合、又は②第1号被保険者1人当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増加した額の5％を減額することとされた。</w:t>
            </w:r>
          </w:p>
        </w:tc>
        <w:tc>
          <w:tcPr>
            <w:tcW w:type="dxa" w:w="1704"/>
          </w:tcPr>
          <w:p>
            <w:r/>
            <w:r>
              <w:rPr>
                <w:rFonts w:ascii="游ゴシック" w:hAnsi="游ゴシック" w:eastAsia="游ゴシック"/>
                <w:sz w:val="17"/>
              </w:rPr>
              <w:t>①は第10期を通じて適用。②は令和9年2月から令和10年1月までの状況について令和10年7月頃までに国から通知され、令和10年度下半期の実施率等が令和9年度下半期を下回った場合に第10期の最終年度（令和11年度）に減額</w:t>
            </w:r>
          </w:p>
        </w:tc>
        <w:tc>
          <w:tcPr>
            <w:tcW w:type="dxa" w:w="2556"/>
          </w:tcPr>
          <w:p>
            <w:r/>
            <w:r>
              <w:rPr>
                <w:rFonts w:ascii="游ゴシック" w:hAnsi="游ゴシック" w:eastAsia="游ゴシック"/>
                <w:sz w:val="17"/>
              </w:rPr>
              <w:t>第5章 基本目標5の施策及び第6章第6節に反映します。当広域連合はケアプラン等の点検を実施していないため①に該当します。減額は年齢区分の精緻化により交付額が増加する場合の増加額を限度とするものであり、当広域連合の交付額が増加するかは交付割合が示された時点で確認します［要確認］。</w:t>
            </w:r>
          </w:p>
        </w:tc>
      </w:tr>
    </w:tbl>
    <w:p>
      <w:pPr>
        <w:spacing w:after="160" w:line="269" w:lineRule="auto"/>
      </w:pPr>
      <w:r>
        <w:rPr>
          <w:rFonts w:ascii="游ゴシック" w:hAnsi="游ゴシック" w:eastAsia="游ゴシック"/>
          <w:b w:val="0"/>
          <w:sz w:val="17"/>
        </w:rPr>
        <w:t>出典：厚生労働省『第1号保険料の在り方について』（資料1）、『持続可能性の確保（給付と負担）』（資料2）、『介護情報基盤について』（資料3）、『介護サービス事業者経営情報の調査及び分析等について』（資料4）、『介護給付適正化に向けた取組について』（資料5）、『介護事業者の連携強化について』（資料6）（いずれも第136回社会保障審議会介護保険部会、令和8年9月18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【引き続き検討することとされた事項】</w:t>
      </w:r>
    </w:p>
    <w:p>
      <w:pPr>
        <w:spacing w:after="80" w:line="269" w:lineRule="auto"/>
      </w:pPr>
      <w:r>
        <w:rPr>
          <w:rFonts w:ascii="游ゴシック" w:hAnsi="游ゴシック" w:eastAsia="游ゴシック"/>
          <w:b w:val="0"/>
          <w:sz w:val="20"/>
        </w:rPr>
        <w:t>次の事項は、給付と負担の在り方として引き続き検討することとされたものです。いずれも結論及び施行の時期が定まっていないため、本計画の見込量、給付費及び保険料の算定には織り込んでいません。検討の結果が示された時点で、本計画への影響の有無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178"/>
            <w:shd w:val="clear" w:color="auto" w:fill="DCE6F1"/>
          </w:tcPr>
          <w:p>
            <w:pPr>
              <w:spacing w:before="0"/>
              <w:jc w:val="center"/>
            </w:pPr>
            <w:r/>
            <w:r>
              <w:rPr>
                <w:rFonts w:ascii="游ゴシック" w:hAnsi="游ゴシック" w:eastAsia="游ゴシック"/>
                <w:b/>
                <w:sz w:val="17"/>
              </w:rPr>
              <w:t>事項</w:t>
            </w:r>
          </w:p>
        </w:tc>
        <w:tc>
          <w:tcPr>
            <w:tcW w:type="dxa" w:w="4668"/>
            <w:shd w:val="clear" w:color="auto" w:fill="DCE6F1"/>
          </w:tcPr>
          <w:p>
            <w:pPr>
              <w:jc w:val="center"/>
            </w:pPr>
            <w:r/>
            <w:r>
              <w:rPr>
                <w:rFonts w:ascii="游ゴシック" w:hAnsi="游ゴシック" w:eastAsia="游ゴシック"/>
                <w:b/>
                <w:sz w:val="17"/>
              </w:rPr>
              <w:t>検討の内容</w:t>
            </w:r>
          </w:p>
        </w:tc>
        <w:tc>
          <w:tcPr>
            <w:tcW w:type="dxa" w:w="2905"/>
            <w:shd w:val="clear" w:color="auto" w:fill="DCE6F1"/>
          </w:tcPr>
          <w:p>
            <w:pPr>
              <w:jc w:val="center"/>
            </w:pPr>
            <w:r/>
            <w:r>
              <w:rPr>
                <w:rFonts w:ascii="游ゴシック" w:hAnsi="游ゴシック" w:eastAsia="游ゴシック"/>
                <w:b/>
                <w:sz w:val="17"/>
              </w:rPr>
              <w:t>影響が及び得る本計画の箇所</w:t>
            </w:r>
          </w:p>
        </w:tc>
      </w:tr>
      <w:tr>
        <w:trPr>
          <w:cantSplit/>
        </w:trPr>
        <w:tc>
          <w:tcPr>
            <w:tcW w:type="dxa" w:w="2178"/>
          </w:tcPr>
          <w:p>
            <w:r/>
            <w:r>
              <w:rPr>
                <w:rFonts w:ascii="游ゴシック" w:hAnsi="游ゴシック" w:eastAsia="游ゴシック"/>
                <w:sz w:val="17"/>
              </w:rPr>
              <w:t>多床室の室料負担</w:t>
            </w:r>
          </w:p>
        </w:tc>
        <w:tc>
          <w:tcPr>
            <w:tcW w:type="dxa" w:w="4668"/>
          </w:tcPr>
          <w:p>
            <w:r/>
            <w:r>
              <w:rPr>
                <w:rFonts w:ascii="游ゴシック" w:hAnsi="游ゴシック" w:eastAsia="游ゴシック"/>
                <w:sz w:val="17"/>
              </w:rPr>
              <w:t>介護老人保健施設及び介護医療院の多床室に係る室料負担の在り方について、在宅との負担の公平性、各施設の機能や利用実態等を踏まえ、介護給付費分科会において検討を行う。</w:t>
            </w:r>
          </w:p>
        </w:tc>
        <w:tc>
          <w:tcPr>
            <w:tcW w:type="dxa" w:w="2905"/>
          </w:tcPr>
          <w:p>
            <w:r/>
            <w:r>
              <w:rPr>
                <w:rFonts w:ascii="游ゴシック" w:hAnsi="游ゴシック" w:eastAsia="游ゴシック"/>
                <w:sz w:val="17"/>
              </w:rPr>
              <w:t>第6章第7節（補足給付）、第6章第3節（施設サービスの給付費）</w:t>
            </w:r>
          </w:p>
        </w:tc>
      </w:tr>
      <w:tr>
        <w:trPr>
          <w:cantSplit/>
        </w:trPr>
        <w:tc>
          <w:tcPr>
            <w:tcW w:type="dxa" w:w="2178"/>
          </w:tcPr>
          <w:p>
            <w:r/>
            <w:r>
              <w:rPr>
                <w:rFonts w:ascii="游ゴシック" w:hAnsi="游ゴシック" w:eastAsia="游ゴシック"/>
                <w:sz w:val="17"/>
              </w:rPr>
              <w:t>軽度者への生活援助サービス等に関する給付の在り方</w:t>
            </w:r>
          </w:p>
        </w:tc>
        <w:tc>
          <w:tcPr>
            <w:tcW w:type="dxa" w:w="4668"/>
          </w:tcPr>
          <w:p>
            <w:r/>
            <w:r>
              <w:rPr>
                <w:rFonts w:ascii="游ゴシック" w:hAnsi="游ゴシック" w:eastAsia="游ゴシック"/>
                <w:sz w:val="17"/>
              </w:rPr>
              <w:t>多様なサービス・活動の整備の状況、従前相当サービス等における専門職の役割等に関するデータを収集・分析しつつ、市町村の意向や利用者への影響等も踏まえ、包括的に検討を行う。</w:t>
            </w:r>
          </w:p>
        </w:tc>
        <w:tc>
          <w:tcPr>
            <w:tcW w:type="dxa" w:w="2905"/>
          </w:tcPr>
          <w:p>
            <w:r/>
            <w:r>
              <w:rPr>
                <w:rFonts w:ascii="游ゴシック" w:hAnsi="游ゴシック" w:eastAsia="游ゴシック"/>
                <w:sz w:val="17"/>
              </w:rPr>
              <w:t>第6章第2節（訪問介護等の見込量）、第6章第3節2（介護予防・日常生活支援総合事業の量）</w:t>
            </w:r>
          </w:p>
        </w:tc>
      </w:tr>
      <w:tr>
        <w:trPr>
          <w:cantSplit/>
        </w:trPr>
        <w:tc>
          <w:tcPr>
            <w:tcW w:type="dxa" w:w="2178"/>
          </w:tcPr>
          <w:p>
            <w:r/>
            <w:r>
              <w:rPr>
                <w:rFonts w:ascii="游ゴシック" w:hAnsi="游ゴシック" w:eastAsia="游ゴシック"/>
                <w:sz w:val="17"/>
              </w:rPr>
              <w:t>金融所得・金融資産の反映の在り方</w:t>
            </w:r>
          </w:p>
        </w:tc>
        <w:tc>
          <w:tcPr>
            <w:tcW w:type="dxa" w:w="4668"/>
          </w:tcPr>
          <w:p>
            <w:r/>
            <w:r>
              <w:rPr>
                <w:rFonts w:ascii="游ゴシック" w:hAnsi="游ゴシック" w:eastAsia="游ゴシック"/>
                <w:sz w:val="17"/>
              </w:rPr>
              <w:t>金融所得の保険料や窓口負担等への反映について、後期高齢者医療制度での対応状況も踏まえつつ検討を行う。金融資産の反映については、預貯金等へのマイナンバーの付番の状況を踏まえて検討を行う。</w:t>
            </w:r>
          </w:p>
        </w:tc>
        <w:tc>
          <w:tcPr>
            <w:tcW w:type="dxa" w:w="2905"/>
          </w:tcPr>
          <w:p>
            <w:r/>
            <w:r>
              <w:rPr>
                <w:rFonts w:ascii="游ゴシック" w:hAnsi="游ゴシック" w:eastAsia="游ゴシック"/>
                <w:sz w:val="17"/>
              </w:rPr>
              <w:t>第6章第6節（所得段階別の被保険者数）、第6章第7節（利用者負担）</w:t>
            </w:r>
          </w:p>
        </w:tc>
      </w:tr>
      <w:tr>
        <w:trPr>
          <w:cantSplit/>
        </w:trPr>
        <w:tc>
          <w:tcPr>
            <w:tcW w:type="dxa" w:w="2178"/>
          </w:tcPr>
          <w:p>
            <w:r/>
            <w:r>
              <w:rPr>
                <w:rFonts w:ascii="游ゴシック" w:hAnsi="游ゴシック" w:eastAsia="游ゴシック"/>
                <w:sz w:val="17"/>
              </w:rPr>
              <w:t>高額介護サービス費の在り方</w:t>
            </w:r>
          </w:p>
        </w:tc>
        <w:tc>
          <w:tcPr>
            <w:tcW w:type="dxa" w:w="4668"/>
          </w:tcPr>
          <w:p>
            <w:r/>
            <w:r>
              <w:rPr>
                <w:rFonts w:ascii="游ゴシック" w:hAnsi="游ゴシック" w:eastAsia="游ゴシック"/>
                <w:sz w:val="17"/>
              </w:rPr>
              <w:t>制度の運用状況を踏まえ、負担上限額の在り方について引き続き検討を行う。</w:t>
            </w:r>
          </w:p>
        </w:tc>
        <w:tc>
          <w:tcPr>
            <w:tcW w:type="dxa" w:w="2905"/>
          </w:tcPr>
          <w:p>
            <w:r/>
            <w:r>
              <w:rPr>
                <w:rFonts w:ascii="游ゴシック" w:hAnsi="游ゴシック" w:eastAsia="游ゴシック"/>
                <w:sz w:val="17"/>
              </w:rPr>
              <w:t>第6章第3節（標準給付費見込額に含む高額介護サービス費）</w:t>
            </w:r>
          </w:p>
        </w:tc>
      </w:tr>
      <w:tr>
        <w:trPr>
          <w:cantSplit/>
        </w:trPr>
        <w:tc>
          <w:tcPr>
            <w:tcW w:type="dxa" w:w="2178"/>
          </w:tcPr>
          <w:p>
            <w:r/>
            <w:r>
              <w:rPr>
                <w:rFonts w:ascii="游ゴシック" w:hAnsi="游ゴシック" w:eastAsia="游ゴシック"/>
                <w:sz w:val="17"/>
              </w:rPr>
              <w:t>登録施設介護支援等に係る利用者負担</w:t>
            </w:r>
          </w:p>
        </w:tc>
        <w:tc>
          <w:tcPr>
            <w:tcW w:type="dxa" w:w="4668"/>
          </w:tcPr>
          <w:p>
            <w:r/>
            <w:r>
              <w:rPr>
                <w:rFonts w:ascii="游ゴシック" w:hAnsi="游ゴシック" w:eastAsia="游ゴシック"/>
                <w:sz w:val="17"/>
              </w:rPr>
              <w:t>登録制の対象となる有料老人ホームの入居者に係る新たな相談支援の類型について、特定施設入居者生活介護等との均衡の観点から利用者負担を求めることが考えられるところ、丁寧に検討を行う。</w:t>
            </w:r>
          </w:p>
        </w:tc>
        <w:tc>
          <w:tcPr>
            <w:tcW w:type="dxa" w:w="2905"/>
          </w:tcPr>
          <w:p>
            <w:r/>
            <w:r>
              <w:rPr>
                <w:rFonts w:ascii="游ゴシック" w:hAnsi="游ゴシック" w:eastAsia="游ゴシック"/>
                <w:sz w:val="17"/>
              </w:rPr>
              <w:t>第6章第2節（令和9年4月に新設される区分の見込量）</w:t>
            </w:r>
          </w:p>
        </w:tc>
      </w:tr>
      <w:tr>
        <w:trPr>
          <w:cantSplit/>
        </w:trPr>
        <w:tc>
          <w:tcPr>
            <w:tcW w:type="dxa" w:w="2178"/>
          </w:tcPr>
          <w:p>
            <w:r/>
            <w:r>
              <w:rPr>
                <w:rFonts w:ascii="游ゴシック" w:hAnsi="游ゴシック" w:eastAsia="游ゴシック"/>
                <w:sz w:val="17"/>
              </w:rPr>
              <w:t>「現役並み所得」の判断基準</w:t>
            </w:r>
          </w:p>
        </w:tc>
        <w:tc>
          <w:tcPr>
            <w:tcW w:type="dxa" w:w="4668"/>
          </w:tcPr>
          <w:p>
            <w:r/>
            <w:r>
              <w:rPr>
                <w:rFonts w:ascii="游ゴシック" w:hAnsi="游ゴシック" w:eastAsia="游ゴシック"/>
                <w:sz w:val="17"/>
              </w:rPr>
              <w:t>医療保険制度との整合性や利用者への影響等を踏まえつつ、引き続き検討を行う。</w:t>
            </w:r>
          </w:p>
        </w:tc>
        <w:tc>
          <w:tcPr>
            <w:tcW w:type="dxa" w:w="2905"/>
          </w:tcPr>
          <w:p>
            <w:r/>
            <w:r>
              <w:rPr>
                <w:rFonts w:ascii="游ゴシック" w:hAnsi="游ゴシック" w:eastAsia="游ゴシック"/>
                <w:sz w:val="17"/>
              </w:rPr>
              <w:t>第6章第3節（利用者負担割合）、第6章第7節（高額介護サービス費）</w:t>
            </w:r>
          </w:p>
        </w:tc>
      </w:tr>
      <w:tr>
        <w:trPr>
          <w:cantSplit/>
        </w:trPr>
        <w:tc>
          <w:tcPr>
            <w:tcW w:type="dxa" w:w="2178"/>
          </w:tcPr>
          <w:p>
            <w:r/>
            <w:r>
              <w:rPr>
                <w:rFonts w:ascii="游ゴシック" w:hAnsi="游ゴシック" w:eastAsia="游ゴシック"/>
                <w:sz w:val="17"/>
              </w:rPr>
              <w:t>被保険者範囲・受給者範囲</w:t>
            </w:r>
          </w:p>
        </w:tc>
        <w:tc>
          <w:tcPr>
            <w:tcW w:type="dxa" w:w="4668"/>
          </w:tcPr>
          <w:p>
            <w:r/>
            <w:r>
              <w:rPr>
                <w:rFonts w:ascii="游ゴシック" w:hAnsi="游ゴシック" w:eastAsia="游ゴシック"/>
                <w:sz w:val="17"/>
              </w:rPr>
              <w:t>介護保険を取り巻く状況の変化も踏まえつつ、引き続き検討を行う。</w:t>
            </w:r>
          </w:p>
        </w:tc>
        <w:tc>
          <w:tcPr>
            <w:tcW w:type="dxa" w:w="2905"/>
          </w:tcPr>
          <w:p>
            <w:r/>
            <w:r>
              <w:rPr>
                <w:rFonts w:ascii="游ゴシック" w:hAnsi="游ゴシック" w:eastAsia="游ゴシック"/>
                <w:sz w:val="17"/>
              </w:rPr>
              <w:t>第6章第6節（第1号被保険者数、第1号被保険者負担割合）</w:t>
            </w:r>
          </w:p>
        </w:tc>
      </w:tr>
    </w:tbl>
    <w:p>
      <w:pPr>
        <w:spacing w:after="160" w:line="269" w:lineRule="auto"/>
      </w:pPr>
      <w:r>
        <w:rPr>
          <w:rFonts w:ascii="游ゴシック" w:hAnsi="游ゴシック" w:eastAsia="游ゴシック"/>
          <w:b w:val="0"/>
          <w:sz w:val="17"/>
        </w:rPr>
        <w:t>出典：厚生労働省『持続可能性の確保（給付と負担）』（第136回社会保障審議会介護保険部会 資料2、令和8年9月18日）に引用された『介護保険制度の見直しに関する意見』（令和7年12月25日社会保障審議会介護保険部会）</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【第9期計画及び社人研推計との関係】</w:t>
      </w:r>
    </w:p>
    <w:p>
      <w:pPr>
        <w:spacing w:after="80" w:line="269" w:lineRule="auto"/>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line="269" w:lineRule="auto"/>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line="269" w:lineRule="auto"/>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line="269" w:lineRule="auto"/>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とする案を示し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平成24年</w:t>
            </w:r>
          </w:p>
        </w:tc>
        <w:tc>
          <w:tcPr>
            <w:tcW w:type="dxa" w:w="1361"/>
            <w:shd w:val="clear" w:color="auto" w:fill="DCE6F1"/>
          </w:tcPr>
          <w:p>
            <w:pPr>
              <w:jc w:val="center"/>
            </w:pPr>
            <w:r/>
            <w:r>
              <w:rPr>
                <w:rFonts w:ascii="游ゴシック" w:hAnsi="游ゴシック" w:eastAsia="游ゴシック"/>
                <w:b/>
                <w:sz w:val="17"/>
              </w:rPr>
              <w:t>平成29年</w:t>
            </w:r>
          </w:p>
        </w:tc>
        <w:tc>
          <w:tcPr>
            <w:tcW w:type="dxa" w:w="1361"/>
            <w:shd w:val="clear" w:color="auto" w:fill="DCE6F1"/>
          </w:tcPr>
          <w:p>
            <w:pPr>
              <w:jc w:val="center"/>
            </w:pPr>
            <w:r/>
            <w:r>
              <w:rPr>
                <w:rFonts w:ascii="游ゴシック" w:hAnsi="游ゴシック" w:eastAsia="游ゴシック"/>
                <w:b/>
                <w:sz w:val="17"/>
              </w:rPr>
              <w:t>令和2年</w:t>
            </w:r>
          </w:p>
        </w:tc>
        <w:tc>
          <w:tcPr>
            <w:tcW w:type="dxa" w:w="1361"/>
            <w:shd w:val="clear" w:color="auto" w:fill="DCE6F1"/>
          </w:tcPr>
          <w:p>
            <w:pPr>
              <w:jc w:val="center"/>
            </w:pPr>
            <w:r/>
            <w:r>
              <w:rPr>
                <w:rFonts w:ascii="游ゴシック" w:hAnsi="游ゴシック" w:eastAsia="游ゴシック"/>
                <w:b/>
                <w:sz w:val="17"/>
              </w:rPr>
              <w:t>令和5年</w:t>
            </w:r>
          </w:p>
        </w:tc>
        <w:tc>
          <w:tcPr>
            <w:tcW w:type="dxa" w:w="1474"/>
            <w:shd w:val="clear" w:color="auto" w:fill="DCE6F1"/>
          </w:tcPr>
          <w:p>
            <w:pPr>
              <w:jc w:val="center"/>
            </w:pPr>
            <w:r/>
            <w:r>
              <w:rPr>
                <w:rFonts w:ascii="游ゴシック" w:hAnsi="游ゴシック" w:eastAsia="游ゴシック"/>
                <w:b/>
                <w:sz w:val="17"/>
              </w:rPr>
              <w:t>令和5年の構成比</w:t>
            </w:r>
          </w:p>
        </w:tc>
      </w:tr>
      <w:tr>
        <w:trPr>
          <w:cantSplit/>
        </w:trP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rPr>
          <w:cantSplit/>
        </w:trP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rPr>
          <w:cantSplit/>
        </w:trP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rPr>
          <w:cantSplit/>
        </w:trP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rPr>
          <w:cantSplit/>
        </w:trP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rPr>
          <w:cantSplit/>
        </w:trP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rPr>
          <w:cantSplit/>
        </w:trP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rPr>
          <w:cantSplit/>
        </w:trP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rPr>
          <w:cantSplit/>
        </w:trP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line="269" w:lineRule="auto"/>
        <w:jc w:val="right"/>
      </w:pPr>
      <w:r>
        <w:rPr>
          <w:rFonts w:ascii="游ゴシック" w:hAnsi="游ゴシック" w:eastAsia="游ゴシック"/>
          <w:b w:val="0"/>
          <w:sz w:val="17"/>
        </w:rPr>
        <w:t>資料：住民基本台帳　各年10月1日現在</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line="269" w:lineRule="auto"/>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line="269" w:lineRule="auto"/>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line="269" w:lineRule="auto"/>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line="269" w:lineRule="auto"/>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484"/>
            <w:shd w:val="clear" w:color="auto" w:fill="DCE6F1"/>
          </w:tcPr>
          <w:p>
            <w:pPr>
              <w:spacing w:before="0"/>
              <w:jc w:val="center"/>
            </w:pPr>
            <w:r/>
            <w:r>
              <w:rPr>
                <w:rFonts w:ascii="游ゴシック" w:hAnsi="游ゴシック" w:eastAsia="游ゴシック"/>
                <w:b/>
                <w:sz w:val="17"/>
              </w:rPr>
              <w:t>区分</w:t>
            </w:r>
          </w:p>
        </w:tc>
        <w:tc>
          <w:tcPr>
            <w:tcW w:type="dxa" w:w="1378"/>
            <w:shd w:val="clear" w:color="auto" w:fill="DCE6F1"/>
          </w:tcPr>
          <w:p>
            <w:pPr>
              <w:jc w:val="center"/>
            </w:pPr>
            <w:r/>
            <w:r>
              <w:rPr>
                <w:rFonts w:ascii="游ゴシック" w:hAnsi="游ゴシック" w:eastAsia="游ゴシック"/>
                <w:b/>
                <w:sz w:val="17"/>
              </w:rPr>
            </w:r>
          </w:p>
        </w:tc>
        <w:tc>
          <w:tcPr>
            <w:tcW w:type="dxa" w:w="1166"/>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平成22年度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平成27年度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令和2年度</w:t>
            </w:r>
          </w:p>
        </w:tc>
        <w:tc>
          <w:tcPr>
            <w:tcW w:type="dxa" w:w="1007"/>
            <w:shd w:val="clear" w:color="auto" w:fill="DCE6F1"/>
          </w:tcPr>
          <w:p>
            <w:pPr>
              <w:jc w:val="center"/>
            </w:pPr>
            <w:r/>
            <w:r>
              <w:rPr>
                <w:rFonts w:ascii="游ゴシック" w:hAnsi="游ゴシック" w:eastAsia="游ゴシック"/>
                <w:b/>
                <w:sz w:val="17"/>
              </w:rPr>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rPr>
          <w:cantSplit/>
        </w:trP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line="269" w:lineRule="auto"/>
        <w:jc w:val="right"/>
      </w:pPr>
      <w:r>
        <w:rPr>
          <w:rFonts w:ascii="游ゴシック" w:hAnsi="游ゴシック" w:eastAsia="游ゴシック"/>
          <w:b w:val="0"/>
          <w:sz w:val="17"/>
        </w:rPr>
        <w:t>資料：国勢調査</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line="269" w:lineRule="auto"/>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指標</w:t>
            </w:r>
          </w:p>
        </w:tc>
        <w:tc>
          <w:tcPr>
            <w:tcW w:type="dxa" w:w="2410"/>
            <w:shd w:val="clear" w:color="auto" w:fill="DCE6F1"/>
          </w:tcPr>
          <w:p>
            <w:pPr>
              <w:jc w:val="center"/>
            </w:pPr>
            <w:r/>
            <w:r>
              <w:rPr>
                <w:rFonts w:ascii="游ゴシック" w:hAnsi="游ゴシック" w:eastAsia="游ゴシック"/>
                <w:b/>
                <w:sz w:val="17"/>
              </w:rPr>
              <w:t>第9期策定時</w:t>
            </w:r>
          </w:p>
        </w:tc>
        <w:tc>
          <w:tcPr>
            <w:tcW w:type="dxa" w:w="2520"/>
            <w:shd w:val="clear" w:color="auto" w:fill="DCE6F1"/>
          </w:tcPr>
          <w:p>
            <w:pPr>
              <w:jc w:val="center"/>
            </w:pPr>
            <w:r/>
            <w:r>
              <w:rPr>
                <w:rFonts w:ascii="游ゴシック" w:hAnsi="游ゴシック" w:eastAsia="游ゴシック"/>
                <w:b/>
                <w:sz w:val="17"/>
              </w:rPr>
              <w:t>第10期更新項目</w:t>
            </w:r>
          </w:p>
        </w:tc>
        <w:tc>
          <w:tcPr>
            <w:tcW w:type="dxa" w:w="2958"/>
            <w:shd w:val="clear" w:color="auto" w:fill="DCE6F1"/>
          </w:tcPr>
          <w:p>
            <w:pPr>
              <w:jc w:val="center"/>
            </w:pPr>
            <w:r/>
            <w:r>
              <w:rPr>
                <w:rFonts w:ascii="游ゴシック" w:hAnsi="游ゴシック" w:eastAsia="游ゴシック"/>
                <w:b/>
                <w:sz w:val="17"/>
              </w:rPr>
              <w:t>評価の視点</w:t>
            </w:r>
          </w:p>
        </w:tc>
      </w:tr>
      <w:tr>
        <w:trPr>
          <w:cantSplit/>
        </w:trP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rPr>
          <w:cantSplit/>
        </w:trP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rPr>
          <w:cantSplit/>
        </w:trP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rPr>
          <w:cantSplit/>
        </w:trP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160" w:line="269" w:lineRule="auto"/>
      </w:pPr>
      <w:r>
        <w:rPr>
          <w:rFonts w:ascii="游ゴシック" w:hAnsi="游ゴシック" w:eastAsia="游ゴシック"/>
          <w:b w:val="0"/>
          <w:sz w:val="17"/>
        </w:rPr>
        <w:t>注）類似保険者との比較は、全国、北海道及び上川管内21保険者との比較によっています。地域包括ケア「見える化」システムの地域比較は当広域連合のデータの登録がないため出力できず、住民の心身の状態及び社会参加については健康とくらしの調査の同規模保険者40団体（人口5万人未満）との比較によります（第4節）。給付及び供給の面で比較する類似保険者の選定条件（人口規模、高齢化率、施設整備の状況、財政力等）は定めていません［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1事業所の減がそのまま定員減となっている（1ユニット18人相当）。既存の事業所において定員の変更があったかは［要確認］</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【リハビリテーション専門職の配置】</w:t>
      </w:r>
    </w:p>
    <w:p>
      <w:pPr>
        <w:spacing w:after="80" w:line="269" w:lineRule="auto"/>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line="269" w:lineRule="auto"/>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020"/>
            <w:shd w:val="clear" w:color="auto" w:fill="DCE6F1"/>
          </w:tcPr>
          <w:p>
            <w:pPr>
              <w:jc w:val="center"/>
            </w:pPr>
            <w:r/>
            <w:r>
              <w:rPr>
                <w:rFonts w:ascii="游ゴシック" w:hAnsi="游ゴシック" w:eastAsia="游ゴシック"/>
                <w:b/>
                <w:sz w:val="17"/>
              </w:rPr>
              <w:t>実数</w:t>
            </w:r>
          </w:p>
        </w:tc>
        <w:tc>
          <w:tcPr>
            <w:tcW w:type="dxa" w:w="794"/>
            <w:shd w:val="clear" w:color="auto" w:fill="DCE6F1"/>
          </w:tcPr>
          <w:p>
            <w:pPr>
              <w:jc w:val="center"/>
            </w:pPr>
            <w:r/>
            <w:r>
              <w:rPr>
                <w:rFonts w:ascii="游ゴシック" w:hAnsi="游ゴシック" w:eastAsia="游ゴシック"/>
                <w:b/>
                <w:sz w:val="17"/>
              </w:rPr>
              <w:t>年度</w:t>
            </w:r>
          </w:p>
        </w:tc>
      </w:tr>
      <w:tr>
        <w:trPr>
          <w:cantSplit/>
        </w:trP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line="269" w:lineRule="auto"/>
        <w:jc w:val="right"/>
      </w:pPr>
      <w:r>
        <w:rPr>
          <w:rFonts w:ascii="游ゴシック" w:hAnsi="游ゴシック" w:eastAsia="游ゴシック"/>
          <w:b w:val="0"/>
          <w:sz w:val="17"/>
        </w:rPr>
        <w:t>資料：地域包括ケア「見える化」システム M1系列・K3系列</w:t>
      </w:r>
    </w:p>
    <w:p>
      <w:pPr>
        <w:spacing w:after="160" w:line="269" w:lineRule="auto"/>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リハビリテーション関係の加算の算定状況をみると、11指標のうち6指標が全国の2倍以上です。とりわけ生活機能向上連携加算（全国比2.24）と入所前後訪問指導加算（同2.10）は、リハビリテーション専門職が居宅を訪問し生活環境を評価する取組であり、住宅改修の点検及び福祉用具の利用状況の点検に直接つながります（第5章 基本目標5）。</w:t>
      </w:r>
    </w:p>
    <w:p>
      <w:pPr>
        <w:spacing w:after="160" w:line="269" w:lineRule="auto"/>
        <w:jc w:val="right"/>
      </w:pPr>
      <w:r>
        <w:rPr>
          <w:rFonts w:ascii="游ゴシック" w:hAnsi="游ゴシック" w:eastAsia="游ゴシック"/>
          <w:b w:val="0"/>
          <w:sz w:val="17"/>
        </w:rPr>
        <w:t>資料：地域包括ケア「見える化」システム N1〜N17系列</w:t>
      </w:r>
    </w:p>
    <w:p>
      <w:pPr>
        <w:pStyle w:val="Heading3"/>
        <w:spacing w:before="180" w:after="10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180" w:after="10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　年齢構成の影響と町間の差】</w:t>
      </w:r>
    </w:p>
    <w:p>
      <w:pPr>
        <w:spacing w:after="80" w:line="269" w:lineRule="auto"/>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268"/>
            <w:shd w:val="clear" w:color="auto" w:fill="DCE6F1"/>
          </w:tcPr>
          <w:p>
            <w:pPr>
              <w:spacing w:before="0"/>
              <w:jc w:val="center"/>
            </w:pPr>
            <w:r/>
            <w:r>
              <w:rPr>
                <w:rFonts w:ascii="游ゴシック" w:hAnsi="游ゴシック" w:eastAsia="游ゴシック"/>
                <w:b/>
                <w:sz w:val="17"/>
              </w:rPr>
              <w:t>指標</w:t>
            </w:r>
          </w:p>
        </w:tc>
        <w:tc>
          <w:tcPr>
            <w:tcW w:type="dxa" w:w="1191"/>
            <w:shd w:val="clear" w:color="auto" w:fill="DCE6F1"/>
          </w:tcPr>
          <w:p>
            <w:pPr>
              <w:jc w:val="center"/>
            </w:pPr>
            <w:r/>
            <w:r>
              <w:rPr>
                <w:rFonts w:ascii="游ゴシック" w:hAnsi="游ゴシック" w:eastAsia="游ゴシック"/>
                <w:b/>
                <w:sz w:val="17"/>
              </w:rPr>
              <w:t>東川町</w:t>
              <w:br/>
              <w:t>粗率</w:t>
            </w:r>
          </w:p>
        </w:tc>
        <w:tc>
          <w:tcPr>
            <w:tcW w:type="dxa" w:w="1191"/>
            <w:shd w:val="clear" w:color="auto" w:fill="DCE6F1"/>
          </w:tcPr>
          <w:p>
            <w:pPr>
              <w:jc w:val="center"/>
            </w:pPr>
            <w:r/>
            <w:r>
              <w:rPr>
                <w:rFonts w:ascii="游ゴシック" w:hAnsi="游ゴシック" w:eastAsia="游ゴシック"/>
                <w:b/>
                <w:sz w:val="17"/>
              </w:rPr>
              <w:t>東川町</w:t>
              <w:br/>
              <w:t>調整</w:t>
            </w:r>
          </w:p>
        </w:tc>
        <w:tc>
          <w:tcPr>
            <w:tcW w:type="dxa" w:w="1191"/>
            <w:shd w:val="clear" w:color="auto" w:fill="DCE6F1"/>
          </w:tcPr>
          <w:p>
            <w:pPr>
              <w:jc w:val="center"/>
            </w:pPr>
            <w:r/>
            <w:r>
              <w:rPr>
                <w:rFonts w:ascii="游ゴシック" w:hAnsi="游ゴシック" w:eastAsia="游ゴシック"/>
                <w:b/>
                <w:sz w:val="17"/>
              </w:rPr>
              <w:t>美瑛町</w:t>
              <w:br/>
              <w:t>粗率</w:t>
            </w:r>
          </w:p>
        </w:tc>
        <w:tc>
          <w:tcPr>
            <w:tcW w:type="dxa" w:w="1191"/>
            <w:shd w:val="clear" w:color="auto" w:fill="DCE6F1"/>
          </w:tcPr>
          <w:p>
            <w:pPr>
              <w:jc w:val="center"/>
            </w:pPr>
            <w:r/>
            <w:r>
              <w:rPr>
                <w:rFonts w:ascii="游ゴシック" w:hAnsi="游ゴシック" w:eastAsia="游ゴシック"/>
                <w:b/>
                <w:sz w:val="17"/>
              </w:rPr>
              <w:t>美瑛町</w:t>
              <w:br/>
              <w:t>調整</w:t>
            </w:r>
          </w:p>
        </w:tc>
        <w:tc>
          <w:tcPr>
            <w:tcW w:type="dxa" w:w="1191"/>
            <w:shd w:val="clear" w:color="auto" w:fill="DCE6F1"/>
          </w:tcPr>
          <w:p>
            <w:pPr>
              <w:jc w:val="center"/>
            </w:pPr>
            <w:r/>
            <w:r>
              <w:rPr>
                <w:rFonts w:ascii="游ゴシック" w:hAnsi="游ゴシック" w:eastAsia="游ゴシック"/>
                <w:b/>
                <w:sz w:val="17"/>
              </w:rPr>
              <w:t>東神楽町</w:t>
              <w:br/>
              <w:t>粗率</w:t>
            </w:r>
          </w:p>
        </w:tc>
        <w:tc>
          <w:tcPr>
            <w:tcW w:type="dxa" w:w="1191"/>
            <w:shd w:val="clear" w:color="auto" w:fill="DCE6F1"/>
          </w:tcPr>
          <w:p>
            <w:pPr>
              <w:jc w:val="center"/>
            </w:pPr>
            <w:r/>
            <w:r>
              <w:rPr>
                <w:rFonts w:ascii="游ゴシック" w:hAnsi="游ゴシック" w:eastAsia="游ゴシック"/>
                <w:b/>
                <w:sz w:val="17"/>
              </w:rPr>
              <w:t>東神楽町</w:t>
              <w:br/>
              <w:t>調整</w:t>
            </w:r>
          </w:p>
        </w:tc>
      </w:tr>
      <w:tr>
        <w:trPr>
          <w:cantSplit/>
        </w:trP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rPr>
          <w:cantSplit/>
        </w:trP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rPr>
          <w:cantSplit/>
        </w:trP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rPr>
          <w:cantSplit/>
        </w:trP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rPr>
          <w:cantSplit/>
        </w:trP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line="269" w:lineRule="auto"/>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【5　暮らし向きとの関連】</w:t>
      </w:r>
    </w:p>
    <w:p>
      <w:pPr>
        <w:spacing w:after="80" w:line="269" w:lineRule="auto"/>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494"/>
            <w:shd w:val="clear" w:color="auto" w:fill="DCE6F1"/>
          </w:tcPr>
          <w:p>
            <w:pPr>
              <w:spacing w:before="0"/>
              <w:jc w:val="center"/>
            </w:pPr>
            <w:r/>
            <w:r>
              <w:rPr>
                <w:rFonts w:ascii="游ゴシック" w:hAnsi="游ゴシック" w:eastAsia="游ゴシック"/>
                <w:b/>
                <w:sz w:val="17"/>
              </w:rPr>
              <w:t>指標</w:t>
            </w:r>
          </w:p>
        </w:tc>
        <w:tc>
          <w:tcPr>
            <w:tcW w:type="dxa" w:w="1134"/>
            <w:shd w:val="clear" w:color="auto" w:fill="DCE6F1"/>
          </w:tcPr>
          <w:p>
            <w:pPr>
              <w:jc w:val="center"/>
            </w:pPr>
            <w:r/>
            <w:r>
              <w:rPr>
                <w:rFonts w:ascii="游ゴシック" w:hAnsi="游ゴシック" w:eastAsia="游ゴシック"/>
                <w:b/>
                <w:sz w:val="17"/>
              </w:rPr>
              <w:t>大変苦しい</w:t>
            </w:r>
          </w:p>
        </w:tc>
        <w:tc>
          <w:tcPr>
            <w:tcW w:type="dxa" w:w="1134"/>
            <w:shd w:val="clear" w:color="auto" w:fill="DCE6F1"/>
          </w:tcPr>
          <w:p>
            <w:pPr>
              <w:jc w:val="center"/>
            </w:pPr>
            <w:r/>
            <w:r>
              <w:rPr>
                <w:rFonts w:ascii="游ゴシック" w:hAnsi="游ゴシック" w:eastAsia="游ゴシック"/>
                <w:b/>
                <w:sz w:val="17"/>
              </w:rPr>
              <w:t>やや苦しい</w:t>
            </w:r>
          </w:p>
        </w:tc>
        <w:tc>
          <w:tcPr>
            <w:tcW w:type="dxa" w:w="1077"/>
            <w:shd w:val="clear" w:color="auto" w:fill="DCE6F1"/>
          </w:tcPr>
          <w:p>
            <w:pPr>
              <w:jc w:val="center"/>
            </w:pPr>
            <w:r/>
            <w:r>
              <w:rPr>
                <w:rFonts w:ascii="游ゴシック" w:hAnsi="游ゴシック" w:eastAsia="游ゴシック"/>
                <w:b/>
                <w:sz w:val="17"/>
              </w:rPr>
              <w:t>ふつう</w:t>
            </w:r>
          </w:p>
        </w:tc>
        <w:tc>
          <w:tcPr>
            <w:tcW w:type="dxa" w:w="1304"/>
            <w:shd w:val="clear" w:color="auto" w:fill="DCE6F1"/>
          </w:tcPr>
          <w:p>
            <w:pPr>
              <w:jc w:val="center"/>
            </w:pPr>
            <w:r/>
            <w:r>
              <w:rPr>
                <w:rFonts w:ascii="游ゴシック" w:hAnsi="游ゴシック" w:eastAsia="游ゴシック"/>
                <w:b/>
                <w:sz w:val="17"/>
              </w:rPr>
              <w:t>ややゆとりがある</w:t>
            </w:r>
          </w:p>
        </w:tc>
        <w:tc>
          <w:tcPr>
            <w:tcW w:type="dxa" w:w="1304"/>
            <w:shd w:val="clear" w:color="auto" w:fill="DCE6F1"/>
          </w:tcPr>
          <w:p>
            <w:pPr>
              <w:jc w:val="center"/>
            </w:pPr>
            <w:r/>
            <w:r>
              <w:rPr>
                <w:rFonts w:ascii="游ゴシック" w:hAnsi="游ゴシック" w:eastAsia="游ゴシック"/>
                <w:b/>
                <w:sz w:val="17"/>
              </w:rPr>
              <w:t>大変ゆとりがある</w:t>
            </w:r>
          </w:p>
        </w:tc>
        <w:tc>
          <w:tcPr>
            <w:tcW w:type="dxa" w:w="1077"/>
            <w:shd w:val="clear" w:color="auto" w:fill="DCE6F1"/>
          </w:tcPr>
          <w:p>
            <w:pPr>
              <w:jc w:val="center"/>
            </w:pPr>
            <w:r/>
            <w:r>
              <w:rPr>
                <w:rFonts w:ascii="游ゴシック" w:hAnsi="游ゴシック" w:eastAsia="游ゴシック"/>
                <w:b/>
                <w:sz w:val="17"/>
              </w:rPr>
              <w:t>検定</w:t>
            </w:r>
          </w:p>
        </w:tc>
      </w:tr>
      <w:tr>
        <w:trPr>
          <w:cantSplit/>
        </w:trP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【7　地区別の状況】</w:t>
      </w:r>
    </w:p>
    <w:p>
      <w:pPr>
        <w:spacing w:after="80" w:line="269" w:lineRule="auto"/>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41"/>
            <w:shd w:val="clear" w:color="auto" w:fill="DCE6F1"/>
          </w:tcPr>
          <w:p>
            <w:pPr>
              <w:spacing w:before="0"/>
              <w:jc w:val="center"/>
            </w:pPr>
            <w:r/>
            <w:r>
              <w:rPr>
                <w:rFonts w:ascii="游ゴシック" w:hAnsi="游ゴシック" w:eastAsia="游ゴシック"/>
                <w:b/>
                <w:sz w:val="17"/>
              </w:rPr>
              <w:t>町</w:t>
            </w:r>
          </w:p>
        </w:tc>
        <w:tc>
          <w:tcPr>
            <w:tcW w:type="dxa" w:w="2327"/>
            <w:shd w:val="clear" w:color="auto" w:fill="DCE6F1"/>
          </w:tcPr>
          <w:p>
            <w:pPr>
              <w:jc w:val="center"/>
            </w:pPr>
            <w:r/>
            <w:r>
              <w:rPr>
                <w:rFonts w:ascii="游ゴシック" w:hAnsi="游ゴシック" w:eastAsia="游ゴシック"/>
                <w:b/>
                <w:sz w:val="17"/>
              </w:rPr>
              <w:t>地区</w:t>
            </w:r>
          </w:p>
        </w:tc>
        <w:tc>
          <w:tcPr>
            <w:tcW w:type="dxa" w:w="1108"/>
            <w:shd w:val="clear" w:color="auto" w:fill="DCE6F1"/>
          </w:tcPr>
          <w:p>
            <w:pPr>
              <w:jc w:val="center"/>
            </w:pPr>
            <w:r/>
            <w:r>
              <w:rPr>
                <w:rFonts w:ascii="游ゴシック" w:hAnsi="游ゴシック" w:eastAsia="游ゴシック"/>
                <w:b/>
                <w:sz w:val="17"/>
              </w:rPr>
              <w:t>回答者数</w:t>
            </w:r>
          </w:p>
        </w:tc>
        <w:tc>
          <w:tcPr>
            <w:tcW w:type="dxa" w:w="1219"/>
            <w:shd w:val="clear" w:color="auto" w:fill="DCE6F1"/>
          </w:tcPr>
          <w:p>
            <w:pPr>
              <w:jc w:val="center"/>
            </w:pPr>
            <w:r/>
            <w:r>
              <w:rPr>
                <w:rFonts w:ascii="游ゴシック" w:hAnsi="游ゴシック" w:eastAsia="游ゴシック"/>
                <w:b/>
                <w:sz w:val="17"/>
              </w:rPr>
              <w:t>75歳以上</w:t>
              <w:br/>
              <w:t>構成比</w:t>
            </w:r>
          </w:p>
        </w:tc>
        <w:tc>
          <w:tcPr>
            <w:tcW w:type="dxa" w:w="1219"/>
            <w:shd w:val="clear" w:color="auto" w:fill="DCE6F1"/>
          </w:tcPr>
          <w:p>
            <w:pPr>
              <w:jc w:val="center"/>
            </w:pPr>
            <w:r/>
            <w:r>
              <w:rPr>
                <w:rFonts w:ascii="游ゴシック" w:hAnsi="游ゴシック" w:eastAsia="游ゴシック"/>
                <w:b/>
                <w:sz w:val="17"/>
              </w:rPr>
              <w:t>フレイル</w:t>
              <w:br/>
              <w:t>あり割合</w:t>
            </w:r>
          </w:p>
        </w:tc>
        <w:tc>
          <w:tcPr>
            <w:tcW w:type="dxa" w:w="1219"/>
            <w:shd w:val="clear" w:color="auto" w:fill="DCE6F1"/>
          </w:tcPr>
          <w:p>
            <w:pPr>
              <w:jc w:val="center"/>
            </w:pPr>
            <w:r/>
            <w:r>
              <w:rPr>
                <w:rFonts w:ascii="游ゴシック" w:hAnsi="游ゴシック" w:eastAsia="游ゴシック"/>
                <w:b/>
                <w:sz w:val="17"/>
              </w:rPr>
              <w:t>閉じこもり</w:t>
              <w:br/>
              <w:t>者割合</w:t>
            </w:r>
          </w:p>
        </w:tc>
        <w:tc>
          <w:tcPr>
            <w:tcW w:type="dxa" w:w="1219"/>
            <w:shd w:val="clear" w:color="auto" w:fill="DCE6F1"/>
          </w:tcPr>
          <w:p>
            <w:pPr>
              <w:jc w:val="center"/>
            </w:pPr>
            <w:r/>
            <w:r>
              <w:rPr>
                <w:rFonts w:ascii="游ゴシック" w:hAnsi="游ゴシック" w:eastAsia="游ゴシック"/>
                <w:b/>
                <w:sz w:val="17"/>
              </w:rPr>
              <w:t>社会参加</w:t>
              <w:br/>
              <w:t>あり割合</w:t>
            </w:r>
          </w:p>
        </w:tc>
      </w:tr>
      <w:tr>
        <w:trPr>
          <w:cantSplit/>
        </w:trP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rPr>
          <w:cantSplit/>
        </w:trP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rPr>
          <w:cantSplit/>
        </w:trP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rPr>
          <w:cantSplit/>
        </w:trP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line="269" w:lineRule="auto"/>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br/>
        <w:t>注）回答者の要介護度の分布は、年報による在宅の認定者の分布と比べて要介護3以上が多く要支援1が少ない側に偏っており、この偏りは回答者が98人であることによる偶然だけでは説明しにくい大きさです。本節の値は「在宅で困難を抱える方の状況」として読むものであり、在宅の認定者全体の割合として用いることはできません。本調査を基礎とする代表KPI（H06・H12）の母集団も同じであり、この範囲で用います（第4章第3節）。</w:t>
        <w:br/>
        <w:t>注）第10期の実施済み3調査（在宅生活改善調査、居所変更実態調査及び介護人材実態調査）について、母数、回答の偏り、同一法人による重複及び未回答施設の取扱いは、本節並びに第3節及び第6節の注に記したとおりです。確定していないものは［要確認］として残しており、確定した後に本文の数値を改め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line="269" w:lineRule="auto"/>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160" w:line="269" w:lineRule="auto"/>
      </w:pPr>
      <w:r>
        <w:rPr>
          <w:rFonts w:ascii="游ゴシック" w:hAnsi="游ゴシック" w:eastAsia="游ゴシック"/>
          <w:b w:val="0"/>
          <w:sz w:val="17"/>
        </w:rPr>
        <w:t>注）第9期の施策及び事業の実績（事業量、対象実人数、予算及び決算）の提供を受けられない間は、本章の評価は公表されている資料（保険者機能強化推進交付金等の評価結果、介護予防・日常生活支援総合事業（地域支援事業）の実施状況に関する調査及び介護保険事業状況報告年報）によっています。事業量及び対象実人数による評価は行っ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必須業務・訓練改善・相互応援。H16は指定・運営指導の際の業務継続計画の策定の確認による</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【調査に所見があるが、対応する施策を確認できない5領域】</w:t>
      </w:r>
    </w:p>
    <w:p>
      <w:pPr>
        <w:spacing w:after="80" w:line="269" w:lineRule="auto"/>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line="269" w:lineRule="auto"/>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2"/>
            <w:shd w:val="clear" w:color="auto" w:fill="DCE6F1"/>
          </w:tcPr>
          <w:p>
            <w:pPr>
              <w:spacing w:before="0"/>
              <w:jc w:val="center"/>
            </w:pPr>
            <w:r/>
            <w:r>
              <w:rPr>
                <w:rFonts w:ascii="游ゴシック" w:hAnsi="游ゴシック" w:eastAsia="游ゴシック"/>
                <w:b/>
                <w:sz w:val="17"/>
              </w:rPr>
              <w:t>領域</w:t>
            </w:r>
          </w:p>
        </w:tc>
        <w:tc>
          <w:tcPr>
            <w:tcW w:type="dxa" w:w="3285"/>
            <w:shd w:val="clear" w:color="auto" w:fill="DCE6F1"/>
          </w:tcPr>
          <w:p>
            <w:pPr>
              <w:jc w:val="center"/>
            </w:pPr>
            <w:r/>
            <w:r>
              <w:rPr>
                <w:rFonts w:ascii="游ゴシック" w:hAnsi="游ゴシック" w:eastAsia="游ゴシック"/>
                <w:b/>
                <w:sz w:val="17"/>
              </w:rPr>
              <w:t>調査による所見</w:t>
            </w:r>
          </w:p>
        </w:tc>
        <w:tc>
          <w:tcPr>
            <w:tcW w:type="dxa" w:w="2053"/>
            <w:shd w:val="clear" w:color="auto" w:fill="DCE6F1"/>
          </w:tcPr>
          <w:p>
            <w:pPr>
              <w:jc w:val="center"/>
            </w:pPr>
            <w:r/>
            <w:r>
              <w:rPr>
                <w:rFonts w:ascii="游ゴシック" w:hAnsi="游ゴシック" w:eastAsia="游ゴシック"/>
                <w:b/>
                <w:sz w:val="17"/>
              </w:rPr>
              <w:t>第9期計画での対応</w:t>
            </w:r>
          </w:p>
        </w:tc>
        <w:tc>
          <w:tcPr>
            <w:tcW w:type="dxa" w:w="2771"/>
            <w:shd w:val="clear" w:color="auto" w:fill="DCE6F1"/>
          </w:tcPr>
          <w:p>
            <w:pPr>
              <w:jc w:val="center"/>
            </w:pPr>
            <w:r/>
            <w:r>
              <w:rPr>
                <w:rFonts w:ascii="游ゴシック" w:hAnsi="游ゴシック" w:eastAsia="游ゴシック"/>
                <w:b/>
                <w:sz w:val="17"/>
              </w:rPr>
              <w:t>第10期での扱い（案）</w:t>
            </w:r>
          </w:p>
        </w:tc>
      </w:tr>
      <w:tr>
        <w:trPr>
          <w:cantSplit/>
        </w:trP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rPr>
          <w:cantSplit/>
        </w:trP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rPr>
          <w:cantSplit/>
        </w:trP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rPr>
          <w:cantSplit/>
        </w:trP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rPr>
          <w:cantSplit/>
        </w:trP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line="269" w:lineRule="auto"/>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pPr>
        <w:spacing w:after="160" w:line="269" w:lineRule="auto"/>
      </w:pPr>
      <w:r>
        <w:rPr>
          <w:rFonts w:ascii="游ゴシック" w:hAnsi="游ゴシック" w:eastAsia="游ゴシック"/>
          <w:b w:val="0"/>
          <w:sz w:val="17"/>
        </w:rPr>
        <w:t>注）保険者機能強化推進交付金等の評価について、本章では公表されている評価指標及び全国集計の値によっています。得点が0である項目について、取組がないのか、取組はあるが要件を満たさないのか、又は該当状況調査において報告していないのかは、公表されている資料からは判別できません。第10期の施策に位置づけるかどうかは取組の必要性から判断するものであり、得点のみを理由とするものではありません［要確認］。</w:t>
      </w:r>
    </w:p>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介護リームス（認定台帳の新規認定者数）</w:t>
            </w:r>
          </w:p>
        </w:tc>
        <w:tc>
          <w:tcPr>
            <w:tcW w:type="dxa" w:w="886"/>
          </w:tcPr>
          <w:p>
            <w:r/>
            <w:r>
              <w:rPr>
                <w:rFonts w:ascii="游ゴシック" w:hAnsi="游ゴシック" w:eastAsia="游ゴシック"/>
                <w:sz w:val="17"/>
              </w:rPr>
              <w:t>要確認（年齢階級別及び過年度分の抽出）</w:t>
            </w:r>
          </w:p>
        </w:tc>
        <w:tc>
          <w:tcPr>
            <w:tcW w:type="dxa" w:w="1477"/>
          </w:tcPr>
          <w:p>
            <w:r/>
            <w:r>
              <w:rPr>
                <w:rFonts w:ascii="游ゴシック" w:hAnsi="游ゴシック" w:eastAsia="游ゴシック"/>
                <w:sz w:val="17"/>
              </w:rPr>
              <w:t>未算定（年齢階級別及び過年度分の抽出が可能となった時点で算定）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要確認（在籍者数の時点及び北海道の評価指標⑥の団体別の値）</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―（団体別の値を引用できる場合に設定）</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業務継続計画の策定を確認した地域密着型サービス事業所の割合（改称）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広域連合の指定・運営指導の記録</w:t>
            </w:r>
          </w:p>
        </w:tc>
        <w:tc>
          <w:tcPr>
            <w:tcW w:type="dxa" w:w="886"/>
          </w:tcPr>
          <w:p>
            <w:r/>
            <w:r>
              <w:rPr>
                <w:rFonts w:ascii="游ゴシック" w:hAnsi="游ゴシック" w:eastAsia="游ゴシック"/>
                <w:sz w:val="17"/>
              </w:rPr>
              <w:t>確保（広域連合の事務により把握できる）</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160" w:line="269" w:lineRule="auto"/>
      </w:pPr>
      <w:r>
        <w:rPr>
          <w:rFonts w:ascii="游ゴシック" w:hAnsi="游ゴシック" w:eastAsia="游ゴシック"/>
          <w:b w:val="0"/>
          <w:sz w:val="17"/>
        </w:rPr>
        <w:t>H03（75歳以上新規認定率）は、認定台帳を管理する情報システムから新規認定者数を抽出して算定するものです。年齢階級別の抽出及び過年度（令和4年度まで）に遡る抽出が可能であることを確認できていないため、基準値及び第9期中の推移を算定していません［要確認］。抽出が可能となった時点で算定し、要因分析に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【H07・H08・H12・H16の振替について】</w:t>
      </w:r>
    </w:p>
    <w:p>
      <w:pPr>
        <w:spacing w:after="80" w:line="269" w:lineRule="auto"/>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1970"/>
            <w:shd w:val="clear" w:color="auto" w:fill="DCE6F1"/>
          </w:tcPr>
          <w:p>
            <w:pPr>
              <w:jc w:val="center"/>
            </w:pPr>
            <w:r/>
            <w:r>
              <w:rPr>
                <w:rFonts w:ascii="游ゴシック" w:hAnsi="游ゴシック" w:eastAsia="游ゴシック"/>
                <w:b/>
                <w:sz w:val="17"/>
              </w:rPr>
              <w:t>当初の定義</w:t>
            </w:r>
          </w:p>
        </w:tc>
        <w:tc>
          <w:tcPr>
            <w:tcW w:type="dxa" w:w="2462"/>
            <w:shd w:val="clear" w:color="auto" w:fill="DCE6F1"/>
          </w:tcPr>
          <w:p>
            <w:pPr>
              <w:jc w:val="center"/>
            </w:pPr>
            <w:r/>
            <w:r>
              <w:rPr>
                <w:rFonts w:ascii="游ゴシック" w:hAnsi="游ゴシック" w:eastAsia="游ゴシック"/>
                <w:b/>
                <w:sz w:val="17"/>
              </w:rPr>
              <w:t>振替後の定義</w:t>
            </w:r>
          </w:p>
        </w:tc>
        <w:tc>
          <w:tcPr>
            <w:tcW w:type="dxa" w:w="1379"/>
            <w:shd w:val="clear" w:color="auto" w:fill="DCE6F1"/>
          </w:tcPr>
          <w:p>
            <w:pPr>
              <w:jc w:val="center"/>
            </w:pPr>
            <w:r/>
            <w:r>
              <w:rPr>
                <w:rFonts w:ascii="游ゴシック" w:hAnsi="游ゴシック" w:eastAsia="游ゴシック"/>
                <w:b/>
                <w:sz w:val="17"/>
              </w:rPr>
              <w:t>基準値</w:t>
            </w:r>
          </w:p>
        </w:tc>
        <w:tc>
          <w:tcPr>
            <w:tcW w:type="dxa" w:w="3349"/>
            <w:shd w:val="clear" w:color="auto" w:fill="DCE6F1"/>
          </w:tcPr>
          <w:p>
            <w:pPr>
              <w:jc w:val="center"/>
            </w:pPr>
            <w:r/>
            <w:r>
              <w:rPr>
                <w:rFonts w:ascii="游ゴシック" w:hAnsi="游ゴシック" w:eastAsia="游ゴシック"/>
                <w:b/>
                <w:sz w:val="17"/>
              </w:rPr>
              <w:t>留意点</w:t>
            </w:r>
          </w:p>
        </w:tc>
      </w:tr>
      <w:tr>
        <w:trPr>
          <w:cantSplit/>
        </w:trP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3.4％（R7・n=2,217）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rPr>
          <w:cantSplit/>
        </w:trP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8.7％（R7・n=4,599）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rPr>
          <w:cantSplit/>
        </w:trP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1379"/>
          </w:tcPr>
          <w:p>
            <w:r/>
            <w:r>
              <w:rPr>
                <w:rFonts w:ascii="游ゴシック" w:hAnsi="游ゴシック" w:eastAsia="游ゴシック"/>
                <w:sz w:val="17"/>
              </w:rPr>
              <w:t>20.2％（R7・99票中20票）</w:t>
            </w:r>
          </w:p>
        </w:tc>
        <w:tc>
          <w:tcPr>
            <w:tcW w:type="dxa" w:w="3349"/>
          </w:tcPr>
          <w:p>
            <w:r/>
            <w:r>
              <w:rPr>
                <w:rFonts w:ascii="游ゴシック" w:hAnsi="游ゴシック" w:eastAsia="游ゴシック"/>
                <w:sz w:val="17"/>
              </w:rPr>
              <w:t>在宅生活改善調査から新たに定義した代理指標です。母集団は事業所が在宅生活の継続に課題があると判断した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rPr>
          <w:cantSplit/>
        </w:trP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業務継続計画の策定を確認した地域密着型サービス事業所の割合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当初は業務継続計画未策定減算（令和6年度新設）の算定状況から把握する方法を予定していましたが、給付実績の明細（加算・減算の単位）が得られないため、指定、指定の更新又は運営指導の際の確認によります。対象は区域内の地域密着型サービス事業所17事業所（東川町4・美瑛町10・東神楽町3）です。災害・感染症が発生していないため、「継続率」ではなく「備えの整備率」です</w:t>
            </w:r>
          </w:p>
        </w:tc>
      </w:tr>
    </w:tbl>
    <w:p>
      <w:pPr>
        <w:spacing w:after="80" w:line="269" w:lineRule="auto"/>
      </w:pPr>
      <w:r>
        <w:rPr>
          <w:rFonts w:ascii="游ゴシック" w:hAnsi="游ゴシック" w:eastAsia="游ゴシック"/>
          <w:b w:val="0"/>
          <w:sz w:val="20"/>
        </w:rPr>
        <w:t>H12は、区域内に事業所が存在しない4サービス（夜間対応型訪問介護、定期巡回・随時対応型訪問介護看護、看護小規模多機能型居宅介護、介護医療院）を「より適切と思われるサービス」として1つ以上選んだ票の割合です。分母はこの設問の有効回答99票であり、要介護度の有効回答98票ではありません。</w:t>
      </w:r>
    </w:p>
    <w:p>
      <w:pPr>
        <w:spacing w:after="160" w:line="269" w:lineRule="auto"/>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H12の町別の値は、利用者の居住地ではなく調査票を提出した事業所の所在地による区分となるため掲げ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【H13・H14の定義変更について】</w:t>
      </w:r>
    </w:p>
    <w:p>
      <w:pPr>
        <w:spacing w:after="80" w:line="269" w:lineRule="auto"/>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line="269" w:lineRule="auto"/>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ます。算定には採用者数、離職者数及び各年9月30日現在の在籍者数が必要ですが、介護人材実態調査は令和7年4月1日現在であり分母の時点が異なるため、現時点では未算定とし、各年9月30日現在の在籍者数を確認したうえで基準値を確定します。北海道が同じ算定方法で評価指標⑥を算定していますが、団体別の値を引用できる見通しが立たないため、H14は要因分析に用いる補完指標にとどめ、目標値を置き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ListBullet"/>
        <w:spacing w:after="40"/>
      </w:pPr>
      <w:r>
        <w:rPr>
          <w:rFonts w:ascii="游ゴシック" w:hAnsi="游ゴシック" w:eastAsia="游ゴシック"/>
          <w:sz w:val="20"/>
        </w:rPr>
        <w:t>医療と介護の関係者の間の情報共有について、国が構築する介護情報基盤を基礎とします（第1章第9節5）。介護情報基盤は、要介護認定情報、請求情報、ケアプラン等を本人、介護事業所及び医療機関等が電子的に閲覧できる仕組みであり、全国医療情報プラットフォームを通じて医療と介護の間の情報連携を行う基盤となるものです。令和10年4月1日の本格運用開始に向けて、構成3町の介護保険事務システムの標準化対応及びデータ移行を進めます。地域で独自に情報共有の手段を整えるのではなく、国の基盤により共有できる情報の範囲を確かめたうえで、基盤では共有されない情報について地域の手順を定めるという順序と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介護情報基盤の活用：介護保険事務システムの標準化対応、介護情報基盤へデータを送信するためのシステムの改修、介護保険事務システムから介護情報基盤へのデータ移行。居宅介護支援事業所・サービス事業所・医療機関への周知と、基盤により閲覧できる情報の範囲の共有</w:t>
            </w:r>
          </w:p>
        </w:tc>
        <w:tc>
          <w:tcPr>
            <w:tcW w:type="dxa" w:w="2958"/>
          </w:tcPr>
          <w:p>
            <w:r/>
            <w:r>
              <w:rPr>
                <w:rFonts w:ascii="游ゴシック" w:hAnsi="游ゴシック" w:eastAsia="游ゴシック"/>
                <w:sz w:val="17"/>
              </w:rPr>
              <w:t>標準化対応の完了 3町とも R9年度中（適合基準日 R9年1月1日）／データ移行の完了及び活用の開始 3町とも R10年3月まで／事業所・医療機関への周知 R9年度中</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―（第1章第9節5。本格運用開始日 令和10年4月1日）</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ListBullet"/>
        <w:spacing w:after="40"/>
      </w:pPr>
      <w:r>
        <w:rPr>
          <w:rFonts w:ascii="游ゴシック" w:hAnsi="游ゴシック" w:eastAsia="游ゴシック"/>
          <w:sz w:val="20"/>
        </w:rPr>
        <w:t>サービスの提供体制の維持について、国は、一定期間の事業継続や事業者間の連携・協働を推進する法人・事業所が都道府県と協定を締結する仕組みを示しています（第1章第9節5）。区域内に事業所がないサービス種別が11あり、既存の事業所も小規模なものが多いことから、北海道及び事業者とともにこの仕組みの活用を検討します。検討の対象とするのは、一定期間の事業継続、人材の相互応援、共同採用及び共同研修、事務や間接業務の共同化です。協定に基づく取組の推進に関する市町村の役割が示された時点で、当広域連合の関与の仕方を定めます［要確認］。</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ケアプランのデータ連携を進めます。ケアプランデータ連携機能は令和9年1月を目処に介護情報基盤と統合され、以後は介護保険資格確認等WEBサービス（新システム）を利用することとなります（第1章第9節5）。令和9年1月以降もデータ連携を行うためには、介護事業所において新システムでの事業所及び管理者の登録を要するため、区域内の居宅介護支援事業所及びサービス事業所に周知し、登録を支援します。令和9年4月以降は介護ソフトとのAPI連携によるデータ連携が可能となるため、介護ソフトの更新の時期に合わせた導入を促します。全国の導入率は令和8年7月末日時点で53.1％です。</w:t>
      </w:r>
    </w:p>
    <w:p>
      <w:pPr>
        <w:pStyle w:val="ListBullet"/>
        <w:spacing w:after="40"/>
      </w:pPr>
      <w:r>
        <w:rPr>
          <w:rFonts w:ascii="游ゴシック" w:hAnsi="游ゴシック" w:eastAsia="游ゴシック"/>
          <w:sz w:val="20"/>
        </w:rPr>
        <w:t>サービスの供給の継続に関する状況の把握に、介護サービス事業者経営情報データベースの公表結果を用います（第1章第9節5）。事業者の経営情報の報告が義務づけられ、国において属性等に応じて区分した分析結果が公表されます。小規模な事業所が多い当区域の状況に照らして用いられる区分を確かめ、事業の継続が難しくなる兆しを早期に把握する材料とします。市町村の区域を単位とする値が得られる範囲は示されていないため、用いられる範囲を確認して用います［要確認］。</w:t>
      </w:r>
    </w:p>
    <w:p>
      <w:pPr>
        <w:pStyle w:val="ListBullet"/>
        <w:spacing w:after="40"/>
      </w:pPr>
      <w:r>
        <w:rPr>
          <w:rFonts w:ascii="游ゴシック" w:hAnsi="游ゴシック" w:eastAsia="游ゴシック"/>
          <w:sz w:val="20"/>
        </w:rPr>
        <w:t>事業者間の連携・協働化について、北海道と協定を締結した法人・事業所への支援の仕組みの活用を検討します（第1章第9節5）。令和9年度概算要求において、協定に基づく連携の取組に要する経費への支援及び連携に参画する事業所に対する介護テクノロジー導入支援の補助率の上乗せが盛り込まれています。区域内の事業所は小規模なものが多く、人材の相互応援、共同採用・共同研修、事務や間接業務の共同化といった連携の余地があります。協定に基づく取組の推進に関する市町村の役割は引き続き検討することとされているため、示された時点で当広域連合の関与の仕方を定めます［要確認］。</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ケアプランデータ連携の推進：新システム（介護保険資格確認等WEBサービス）での事業所・管理者登録の周知と支援、介護ソフトとのAPI連携の導入の促進</w:t>
            </w:r>
          </w:p>
        </w:tc>
        <w:tc>
          <w:tcPr>
            <w:tcW w:type="dxa" w:w="2958"/>
          </w:tcPr>
          <w:p>
            <w:r/>
            <w:r>
              <w:rPr>
                <w:rFonts w:ascii="游ゴシック" w:hAnsi="游ゴシック" w:eastAsia="游ゴシック"/>
                <w:sz w:val="17"/>
              </w:rPr>
              <w:t>新システムへの登録 区域内の居宅介護支援事業所11事業所とも R9年度当初／データ連携を行う事業所数の把握 毎年度／API連携による連携を行う事業所数 ［要協議］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―（第1章第9節5。統合 令和9年1月、API連携 令和9年4月以降）</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介護サービス事業者経営情報データベースの公表結果による状況の把握。北海道と協定を締結した法人・事業所への支援の仕組みの活用の検討</w:t>
            </w:r>
          </w:p>
        </w:tc>
        <w:tc>
          <w:tcPr>
            <w:tcW w:type="dxa" w:w="2958"/>
          </w:tcPr>
          <w:p>
            <w:r/>
            <w:r>
              <w:rPr>
                <w:rFonts w:ascii="游ゴシック" w:hAnsi="游ゴシック" w:eastAsia="游ゴシック"/>
                <w:sz w:val="17"/>
              </w:rPr>
              <w:t>相談件数／協働化の取組件数／経営情報の公表結果により状況を確認した区分数 毎年度／協定に基づく連携への参画事業所数 ［要協議］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―（団体別の値を引用できる場合に設定）</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sz w:val="20"/>
        </w:rPr>
        <w:t>介護給付適正化の計画策定に関する指針は、介護給付費財政調整交付金の算定に当たって主要3事業の取組状況を勘案することとしています。令和8年9月18日の社会保障審議会介護保険部会では、この勘案の方法が具体的に示されました（第1章第9節5）。調整交付金の年齢区分の精緻化により交付額が増加する保険者について、主要3事業のいずれかを実施していない場合は、増加した額の5％を減額することとされています。</w:t>
      </w:r>
    </w:p>
    <w:p>
      <w:pPr>
        <w:spacing w:after="80" w:line="269" w:lineRule="auto"/>
      </w:pPr>
      <w:r>
        <w:rPr>
          <w:rFonts w:ascii="游ゴシック" w:hAnsi="游ゴシック" w:eastAsia="游ゴシック"/>
          <w:b w:val="0"/>
          <w:sz w:val="20"/>
        </w:rPr>
        <w:t>当広域連合はケアプラン等の点検を実施していないため、この減額の対象となります。減額は年齢区分の精緻化により交付額が増加する場合の増加額を限度とするものであり、減額の額は当広域連合に係る交付割合が示された時点で確認します。本計画の保険料の算定（第6章第6節）は、調整交付金の見込交付割合を第9期計画と同水準として置いており、この減額を織り込んでいません［要確認］。ケアプランの点検は令和9年度から実施することとしているため、減額を避けるためにも着手の時期を確保する必要があります。</w:t>
      </w:r>
    </w:p>
    <w:p>
      <w:pPr>
        <w:spacing w:after="80" w:line="269" w:lineRule="auto"/>
      </w:pPr>
      <w:r>
        <w:rPr>
          <w:rFonts w:ascii="游ゴシック" w:hAnsi="游ゴシック" w:eastAsia="游ゴシック"/>
          <w:b w:val="0"/>
          <w:sz w:val="20"/>
        </w:rPr>
        <w:t>あわせて、第1号被保険者1人当たり給付費が全保険者の平均値に標準偏差の2倍を加えた値を超える外れ値に該当した保険者は、国民健康保険団体連合会の介護給付適正化システムの帳票を活用した点検（ケアプラン等の点検の実施件数、医療情報との突合の実施率、縦覧点検の実施率）について、令和10年度下半期の実施率等を令和9年度下半期の水準以上に保つことが求められます。これを下回った場合は、第10期の最終年度（令和11年度）に調整交付金が減額されます。外れ値に該当するかどうかは、令和9年2月から令和10年1月までの状況について令和10年7月頃までに国から通知されます。</w:t>
      </w:r>
    </w:p>
    <w:p>
      <w:pPr>
        <w:spacing w:after="80" w:line="269" w:lineRule="auto"/>
      </w:pPr>
      <w:r>
        <w:rPr>
          <w:rFonts w:ascii="游ゴシック" w:hAnsi="游ゴシック" w:eastAsia="游ゴシック"/>
          <w:b w:val="0"/>
          <w:sz w:val="20"/>
        </w:rPr>
        <w:t>当広域連合の第1号被保険者1人当たり給付費は、施設及び居住系サービスの受給率が全国の1.23倍、訪問介護の受給者1人当たり利用回数が全国の1.87倍であり（第2章第2節）、外れ値に該当する可能性を否定できません。このため、外れ値に該当した場合の帳票を活用した点検を毎年度の管理項目として（4）に置き、令和9年度下半期の実施率等を記録しておくこととしま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1人当たり給付費が外れ値となった場合の帳票を活用した点検：第1号被保険者1人当たり給付費が全保険者の平均値に標準偏差の2倍を加えた値を超える旨の通知を受けた場合に、介護給付適正化システムの帳票により点検する。令和9年度下半期の実施率等を記録し、以後の年度がこれを下回らないようにする</w:t>
            </w:r>
          </w:p>
        </w:tc>
        <w:tc>
          <w:tcPr>
            <w:tcW w:type="dxa" w:w="2958"/>
          </w:tcPr>
          <w:p>
            <w:r/>
            <w:r>
              <w:rPr>
                <w:rFonts w:ascii="游ゴシック" w:hAnsi="游ゴシック" w:eastAsia="游ゴシック"/>
                <w:sz w:val="17"/>
              </w:rPr>
              <w:t>令和9年度下半期の実施率等の記録 R9年度中／ケアプラン等の点検の実施件数、医療情報との突合の実施率、縦覧点検の実施率の半期別の把握 毎年度／令和10年度下半期の実施率等が令和9年度下半期以上 100％</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―（調整交付金の一定の取組。第1章第9節5）</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業務継続計画の策定を確認した地域密着型サービス事業所の割合（改称）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指針は点検による効果の把握が望ましいとしている。改善の確認の方法は令和9年度当初に定める実施要領において定める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160" w:line="269" w:lineRule="auto"/>
      </w:pPr>
      <w:r>
        <w:rPr>
          <w:rFonts w:ascii="游ゴシック" w:hAnsi="游ゴシック" w:eastAsia="游ゴシック"/>
          <w:b w:val="0"/>
          <w:sz w:val="17"/>
        </w:rPr>
        <w:t>注）要介護度の構成は、施設に入所している方と在宅の方を分けずに置いています。施設入所者と在宅者を分けた要介護度の変化を把握できないためです。施設及び居住系サービスの定員が縮小する一方で重度者の在宅・居住系割合が上昇しており（第2章第5節）、入所の状況によって重度化の見え方は変わりますが、本計画はその経路を分けて算定し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【認定率の置き方によるちがい】</w:t>
      </w:r>
    </w:p>
    <w:p>
      <w:pPr>
        <w:spacing w:after="80" w:line="269" w:lineRule="auto"/>
      </w:pPr>
      <w:r>
        <w:rPr>
          <w:rFonts w:ascii="游ゴシック" w:hAnsi="游ゴシック" w:eastAsia="游ゴシック"/>
          <w:b w:val="0"/>
          <w:sz w:val="20"/>
        </w:rPr>
        <w:t>階級別認定率の置き方について、次の3つを算定しました。上表は②によっています。［要協議］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385"/>
            <w:shd w:val="clear" w:color="auto" w:fill="DCE6F1"/>
          </w:tcPr>
          <w:p>
            <w:pPr>
              <w:spacing w:before="0"/>
              <w:jc w:val="center"/>
            </w:pPr>
            <w:r/>
            <w:r>
              <w:rPr>
                <w:rFonts w:ascii="游ゴシック" w:hAnsi="游ゴシック" w:eastAsia="游ゴシック"/>
                <w:b/>
                <w:sz w:val="17"/>
              </w:rPr>
              <w:t>置き方</w:t>
            </w:r>
          </w:p>
        </w:tc>
        <w:tc>
          <w:tcPr>
            <w:tcW w:type="dxa" w:w="3197"/>
            <w:shd w:val="clear" w:color="auto" w:fill="DCE6F1"/>
          </w:tcPr>
          <w:p>
            <w:pPr>
              <w:jc w:val="center"/>
            </w:pPr>
            <w:r/>
            <w:r>
              <w:rPr>
                <w:rFonts w:ascii="游ゴシック" w:hAnsi="游ゴシック" w:eastAsia="游ゴシック"/>
                <w:b/>
                <w:sz w:val="17"/>
              </w:rPr>
              <w:t>内容</w:t>
            </w:r>
          </w:p>
        </w:tc>
        <w:tc>
          <w:tcPr>
            <w:tcW w:type="dxa" w:w="1012"/>
            <w:shd w:val="clear" w:color="auto" w:fill="DCE6F1"/>
          </w:tcPr>
          <w:p>
            <w:pPr>
              <w:jc w:val="center"/>
            </w:pPr>
            <w:r/>
            <w:r>
              <w:rPr>
                <w:rFonts w:ascii="游ゴシック" w:hAnsi="游ゴシック" w:eastAsia="游ゴシック"/>
                <w:b/>
                <w:sz w:val="17"/>
              </w:rPr>
              <w:t>R9</w:t>
            </w:r>
          </w:p>
        </w:tc>
        <w:tc>
          <w:tcPr>
            <w:tcW w:type="dxa" w:w="1012"/>
            <w:shd w:val="clear" w:color="auto" w:fill="DCE6F1"/>
          </w:tcPr>
          <w:p>
            <w:pPr>
              <w:jc w:val="center"/>
            </w:pPr>
            <w:r/>
            <w:r>
              <w:rPr>
                <w:rFonts w:ascii="游ゴシック" w:hAnsi="游ゴシック" w:eastAsia="游ゴシック"/>
                <w:b/>
                <w:sz w:val="17"/>
              </w:rPr>
              <w:t>R10</w:t>
            </w:r>
          </w:p>
        </w:tc>
        <w:tc>
          <w:tcPr>
            <w:tcW w:type="dxa" w:w="1012"/>
            <w:shd w:val="clear" w:color="auto" w:fill="DCE6F1"/>
          </w:tcPr>
          <w:p>
            <w:pPr>
              <w:jc w:val="center"/>
            </w:pPr>
            <w:r/>
            <w:r>
              <w:rPr>
                <w:rFonts w:ascii="游ゴシック" w:hAnsi="游ゴシック" w:eastAsia="游ゴシック"/>
                <w:b/>
                <w:sz w:val="17"/>
              </w:rPr>
              <w:t>R11</w:t>
            </w:r>
          </w:p>
        </w:tc>
        <w:tc>
          <w:tcPr>
            <w:tcW w:type="dxa" w:w="1119"/>
            <w:shd w:val="clear" w:color="auto" w:fill="DCE6F1"/>
          </w:tcPr>
          <w:p>
            <w:pPr>
              <w:jc w:val="center"/>
            </w:pPr>
            <w:r/>
            <w:r>
              <w:rPr>
                <w:rFonts w:ascii="游ゴシック" w:hAnsi="游ゴシック" w:eastAsia="游ゴシック"/>
                <w:b/>
                <w:sz w:val="17"/>
              </w:rPr>
              <w:t>3年計</w:t>
            </w:r>
          </w:p>
        </w:tc>
        <w:tc>
          <w:tcPr>
            <w:tcW w:type="dxa" w:w="1012"/>
            <w:shd w:val="clear" w:color="auto" w:fill="DCE6F1"/>
          </w:tcPr>
          <w:p>
            <w:pPr>
              <w:jc w:val="center"/>
            </w:pPr>
            <w:r/>
            <w:r>
              <w:rPr>
                <w:rFonts w:ascii="游ゴシック" w:hAnsi="游ゴシック" w:eastAsia="游ゴシック"/>
                <w:b/>
                <w:sz w:val="17"/>
              </w:rPr>
              <w:t>R22</w:t>
            </w:r>
          </w:p>
        </w:tc>
      </w:tr>
      <w:tr>
        <w:trPr>
          <w:cantSplit/>
        </w:trP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rPr>
          <w:cantSplit/>
        </w:trP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rPr>
          <w:cantSplit/>
        </w:trP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line="269" w:lineRule="auto"/>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【人口の基礎による推計のちがい】</w:t>
      </w:r>
    </w:p>
    <w:p>
      <w:pPr>
        <w:spacing w:after="80" w:line="269" w:lineRule="auto"/>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社人研による場合</w:t>
            </w:r>
          </w:p>
        </w:tc>
        <w:tc>
          <w:tcPr>
            <w:tcW w:type="dxa" w:w="1587"/>
            <w:shd w:val="clear" w:color="auto" w:fill="DCE6F1"/>
          </w:tcPr>
          <w:p>
            <w:pPr>
              <w:jc w:val="center"/>
            </w:pPr>
            <w:r/>
            <w:r>
              <w:rPr>
                <w:rFonts w:ascii="游ゴシック" w:hAnsi="游ゴシック" w:eastAsia="游ゴシック"/>
                <w:b/>
                <w:sz w:val="17"/>
              </w:rPr>
              <w:t>総合戦略ベース（採用）</w:t>
            </w:r>
          </w:p>
        </w:tc>
        <w:tc>
          <w:tcPr>
            <w:tcW w:type="dxa" w:w="1020"/>
            <w:shd w:val="clear" w:color="auto" w:fill="DCE6F1"/>
          </w:tcPr>
          <w:p>
            <w:pPr>
              <w:jc w:val="center"/>
            </w:pPr>
            <w:r/>
            <w:r>
              <w:rPr>
                <w:rFonts w:ascii="游ゴシック" w:hAnsi="游ゴシック" w:eastAsia="游ゴシック"/>
                <w:b/>
                <w:sz w:val="17"/>
              </w:rPr>
              <w:t>差</w:t>
            </w:r>
          </w:p>
        </w:tc>
        <w:tc>
          <w:tcPr>
            <w:tcW w:type="dxa" w:w="2721"/>
            <w:shd w:val="clear" w:color="auto" w:fill="DCE6F1"/>
          </w:tcPr>
          <w:p>
            <w:pPr>
              <w:jc w:val="center"/>
            </w:pPr>
            <w:r/>
            <w:r>
              <w:rPr>
                <w:rFonts w:ascii="游ゴシック" w:hAnsi="游ゴシック" w:eastAsia="游ゴシック"/>
                <w:b/>
                <w:sz w:val="17"/>
              </w:rPr>
              <w:t>内容</w:t>
            </w:r>
          </w:p>
        </w:tc>
      </w:tr>
      <w:tr>
        <w:trPr>
          <w:cantSplit/>
        </w:trP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rPr>
          <w:cantSplit/>
        </w:trP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rPr>
          <w:cantSplit/>
        </w:trP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line="269" w:lineRule="auto"/>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line="269" w:lineRule="auto"/>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6,438円です。</w:t>
      </w:r>
    </w:p>
    <w:p>
      <w:pPr>
        <w:spacing w:after="160" w:line="269" w:lineRule="auto"/>
      </w:pPr>
      <w:r>
        <w:rPr>
          <w:rFonts w:ascii="游ゴシック" w:hAnsi="游ゴシック" w:eastAsia="游ゴシック"/>
          <w:b w:val="0"/>
          <w:sz w:val="17"/>
        </w:rPr>
        <w:t>総人口の目標値は3町一律には用いられません。美瑛町の第3期総合戦略に人口の目標値がないこと、東神楽町の実績が目標（9,500人の維持）を下回る見込みであること、東川町の実績が目標（8,635人）を既に上回っていることによります。このため、総人口は3町計を総合戦略の目標の水準により置き、年齢階級別の内訳及び町別の総人口は住民基本台帳の実績趨勢によることと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w:t>
      </w:r>
    </w:p>
    <w:p>
      <w:pPr>
        <w:pStyle w:val="Heading3"/>
        <w:spacing w:before="180" w:after="10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180" w:after="10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施設及び居住系サービスについても、在宅サービスと同じく令和7年度の要介護度別の利用率を固定して置いており、これらのサービスに固有の伸びを別に選んではいません。定員との関係は第4節2により別に確かめます。</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登録施設介護支援等に係る利用者負担の在り方は引き続き検討することとされており（第1章第9節5）、利用者負担が設けられる場合は給付費の算定が変わります［要確認］。</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180" w:after="10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180" w:after="10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の素案は「特定のサービス類型の事業所が地域に存在しない……など、現に指定サービス等を前提としたサービス基盤の維持が困難である地域」を指定の対象として挙げており、本広域連合の状況はこれに当たり得る。指定は市町村の意向を踏まえて都道府県が定めるため、本計画に指定の意向を記載することが手続の起点となる。事業の具体の内容、費用の負担及び事業費の上限は確定していないため、必要となる事業費は算定できない（第1章第9節1）</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pStyle w:val="Heading3"/>
        <w:spacing w:before="180" w:after="10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【供給の担い手の集中】</w:t>
      </w:r>
    </w:p>
    <w:p>
      <w:pPr>
        <w:spacing w:after="80" w:line="269" w:lineRule="auto"/>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【混合型特定施設入居者生活介護に係る必要利用定員総数】</w:t>
      </w:r>
    </w:p>
    <w:p>
      <w:pPr>
        <w:spacing w:after="80" w:line="269" w:lineRule="auto"/>
      </w:pPr>
      <w:r>
        <w:rPr>
          <w:rFonts w:ascii="游ゴシック" w:hAnsi="游ゴシック" w:eastAsia="游ゴシック"/>
          <w:b w:val="0"/>
          <w:sz w:val="21"/>
        </w:rPr>
        <w:t>介護保険法第117条第3項は、サービスの種類ごとの量を定めるに当たって勘案すべき事項として、混合型特定施設入居者生活介護に係る必要利用定員総数を挙げています。本計画では、混合型特定施設入居者生活介護に係る必要利用定員総数は定めないことと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928"/>
            <w:shd w:val="clear" w:color="auto" w:fill="DCE6F1"/>
          </w:tcPr>
          <w:p>
            <w:pPr>
              <w:jc w:val="center"/>
            </w:pPr>
            <w:r/>
            <w:r>
              <w:rPr>
                <w:rFonts w:ascii="游ゴシック" w:hAnsi="游ゴシック" w:eastAsia="游ゴシック"/>
                <w:b/>
                <w:sz w:val="17"/>
              </w:rPr>
              <w:t>区域内の定員</w:t>
            </w:r>
          </w:p>
        </w:tc>
        <w:tc>
          <w:tcPr>
            <w:tcW w:type="dxa" w:w="2835"/>
            <w:shd w:val="clear" w:color="auto" w:fill="DCE6F1"/>
          </w:tcPr>
          <w:p>
            <w:pPr>
              <w:jc w:val="center"/>
            </w:pPr>
            <w:r/>
            <w:r>
              <w:rPr>
                <w:rFonts w:ascii="游ゴシック" w:hAnsi="游ゴシック" w:eastAsia="游ゴシック"/>
                <w:b/>
                <w:sz w:val="17"/>
              </w:rPr>
              <w:t>令和7年度の受給者数（人／月）</w:t>
            </w:r>
          </w:p>
        </w:tc>
        <w:tc>
          <w:tcPr>
            <w:tcW w:type="dxa" w:w="2041"/>
            <w:shd w:val="clear" w:color="auto" w:fill="DCE6F1"/>
          </w:tcPr>
          <w:p>
            <w:pPr>
              <w:jc w:val="center"/>
            </w:pPr>
            <w:r/>
            <w:r>
              <w:rPr>
                <w:rFonts w:ascii="游ゴシック" w:hAnsi="游ゴシック" w:eastAsia="游ゴシック"/>
                <w:b/>
                <w:sz w:val="17"/>
              </w:rPr>
              <w:t>必要利用定員総数</w:t>
            </w:r>
          </w:p>
        </w:tc>
      </w:tr>
      <w:tr>
        <w:trPr>
          <w:cantSplit/>
        </w:trPr>
        <w:tc>
          <w:tcPr>
            <w:tcW w:type="dxa" w:w="2494"/>
          </w:tcPr>
          <w:p>
            <w:r/>
            <w:r>
              <w:rPr>
                <w:rFonts w:ascii="游ゴシック" w:hAnsi="游ゴシック" w:eastAsia="游ゴシック"/>
                <w:sz w:val="17"/>
              </w:rPr>
              <w:t>特定施設入居者生活介護</w:t>
            </w:r>
          </w:p>
        </w:tc>
        <w:tc>
          <w:tcPr>
            <w:tcW w:type="dxa" w:w="1928"/>
          </w:tcPr>
          <w:p>
            <w:r/>
            <w:r>
              <w:rPr>
                <w:rFonts w:ascii="游ゴシック" w:hAnsi="游ゴシック" w:eastAsia="游ゴシック"/>
                <w:sz w:val="17"/>
              </w:rPr>
              <w:t>156</w:t>
            </w:r>
          </w:p>
        </w:tc>
        <w:tc>
          <w:tcPr>
            <w:tcW w:type="dxa" w:w="2835"/>
          </w:tcPr>
          <w:p>
            <w:r/>
            <w:r>
              <w:rPr>
                <w:rFonts w:ascii="游ゴシック" w:hAnsi="游ゴシック" w:eastAsia="游ゴシック"/>
                <w:sz w:val="17"/>
              </w:rPr>
              <w:t>61.5</w:t>
            </w:r>
          </w:p>
        </w:tc>
        <w:tc>
          <w:tcPr>
            <w:tcW w:type="dxa" w:w="2041"/>
          </w:tcPr>
          <w:p>
            <w:r/>
            <w:r>
              <w:rPr>
                <w:rFonts w:ascii="游ゴシック" w:hAnsi="游ゴシック" w:eastAsia="游ゴシック"/>
                <w:sz w:val="17"/>
              </w:rPr>
              <w:t>定めない</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017"/>
            <w:shd w:val="clear" w:color="auto" w:fill="DCE6F1"/>
          </w:tcPr>
          <w:p>
            <w:pPr>
              <w:spacing w:before="0"/>
              <w:jc w:val="center"/>
            </w:pPr>
            <w:r/>
            <w:r>
              <w:rPr>
                <w:rFonts w:ascii="游ゴシック" w:hAnsi="游ゴシック" w:eastAsia="游ゴシック"/>
                <w:b/>
                <w:sz w:val="17"/>
              </w:rPr>
              <w:t>期・年度</w:t>
            </w:r>
          </w:p>
        </w:tc>
        <w:tc>
          <w:tcPr>
            <w:tcW w:type="dxa" w:w="1681"/>
            <w:shd w:val="clear" w:color="auto" w:fill="DCE6F1"/>
          </w:tcPr>
          <w:p>
            <w:pPr>
              <w:jc w:val="center"/>
            </w:pPr>
            <w:r/>
            <w:r>
              <w:rPr>
                <w:rFonts w:ascii="游ゴシック" w:hAnsi="游ゴシック" w:eastAsia="游ゴシック"/>
                <w:b/>
                <w:sz w:val="17"/>
              </w:rPr>
              <w:t>必要保険料月額</w:t>
            </w:r>
          </w:p>
        </w:tc>
        <w:tc>
          <w:tcPr>
            <w:tcW w:type="dxa" w:w="1457"/>
            <w:shd w:val="clear" w:color="auto" w:fill="DCE6F1"/>
          </w:tcPr>
          <w:p>
            <w:pPr>
              <w:jc w:val="center"/>
            </w:pPr>
            <w:r/>
            <w:r>
              <w:rPr>
                <w:rFonts w:ascii="游ゴシック" w:hAnsi="游ゴシック" w:eastAsia="游ゴシック"/>
                <w:b/>
                <w:sz w:val="17"/>
              </w:rPr>
              <w:t>基準額</w:t>
            </w:r>
          </w:p>
        </w:tc>
        <w:tc>
          <w:tcPr>
            <w:tcW w:type="dxa" w:w="2017"/>
            <w:shd w:val="clear" w:color="auto" w:fill="DCE6F1"/>
          </w:tcPr>
          <w:p>
            <w:pPr>
              <w:jc w:val="center"/>
            </w:pPr>
            <w:r/>
            <w:r>
              <w:rPr>
                <w:rFonts w:ascii="游ゴシック" w:hAnsi="游ゴシック" w:eastAsia="游ゴシック"/>
                <w:b/>
                <w:sz w:val="17"/>
              </w:rPr>
              <w:t>差</w:t>
            </w:r>
          </w:p>
        </w:tc>
        <w:tc>
          <w:tcPr>
            <w:tcW w:type="dxa" w:w="2578"/>
            <w:shd w:val="clear" w:color="auto" w:fill="DCE6F1"/>
          </w:tcPr>
          <w:p>
            <w:pPr>
              <w:jc w:val="center"/>
            </w:pPr>
            <w:r/>
            <w:r>
              <w:rPr>
                <w:rFonts w:ascii="游ゴシック" w:hAnsi="游ゴシック" w:eastAsia="游ゴシック"/>
                <w:b/>
                <w:sz w:val="17"/>
              </w:rPr>
              <w:t>評価</w:t>
            </w:r>
          </w:p>
        </w:tc>
      </w:tr>
      <w:tr>
        <w:trPr>
          <w:cantSplit/>
        </w:trP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rPr>
          <w:cantSplit/>
        </w:trP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rPr>
          <w:cantSplit/>
        </w:trP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line="269" w:lineRule="auto"/>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は、実績が計画を下回っています。乖離は標準給付費見込額に集中しており、地域支援事業費はほぼ計画どおりです。実績から算定した令和6年度6,063円・令和7年度6,352円の平均6,208円は、別の経路で算定した値とも12円（0.2％）の差で一致するため、第10期の算定の出発点として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80" w:line="269" w:lineRule="auto"/>
      </w:pPr>
      <w:r>
        <w:rPr>
          <w:rFonts w:ascii="游ゴシック" w:hAnsi="游ゴシック" w:eastAsia="游ゴシック"/>
          <w:b w:val="0"/>
          <w:sz w:val="20"/>
        </w:rPr>
        <w:t>国は、第10期において、高所得者の標準乗率の見直し及び住民税非課税の段階から課税の段階に上がるときの保険料の上昇の緩和を含めた国の定める標準段階の見直しにより、被保険者の負担能力に応じた保険料設定を図ることを検討課題として挙げています（第1章第9節5）。いずれも標準段階の段階数及び割合に関わるものであり、政令が改められた場合は、当広域連合の条例の段階及び割合をこれに合わせて見直すかどうかを判断する必要があります。段階の置き方による保険料の違いは第5項に掲げます。</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br/>
        <w:t>注）標準の13段階の範囲で割合を比べると、条例の割合が標準を下回る段階が3、上回る段階が6あります。下回るのは第2段階0.639（標準0.685）、第4段階0.860（標準0.900）、第9段階1.630（標準1.700）です。うち第9段階（本人の合計所得金額320万円以上420万円未満）の1.630は標準の1.700を下回りますが、この設定の経緯を確認できていないため、本計画の算定は第9期の条例の割合をそのまま用いています［要確認］。</w:t>
      </w:r>
    </w:p>
    <w:p>
      <w:pPr>
        <w:spacing w:after="80" w:line="269" w:lineRule="auto"/>
      </w:pPr>
      <w:r>
        <w:rPr>
          <w:rFonts w:ascii="游ゴシック" w:hAnsi="游ゴシック" w:eastAsia="游ゴシック"/>
          <w:b w:val="0"/>
          <w:sz w:val="20"/>
        </w:rPr>
        <w:t>所得段階別の第1号被保険者数は、令和6年度の実績の構成比を固定し、将来の第1号被保険者数（第1節）に乗じて求めています。予定保険料収納率は、所得段階別の収納率の実績を確認できていないため、全段階に一律に99.0％を用いています。段階別の収納率に差がある場合は、低い割合の段階の人数が多いほど必要額の確保に不足が生じる側に働くため、段階別の収納実績を確認して第10期の予定収納率を定めます［要確認］。</w:t>
      </w:r>
    </w:p>
    <w:p>
      <w:pPr>
        <w:pStyle w:val="Heading3"/>
        <w:spacing w:before="180" w:after="10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【保険料と必要保険料月額との関係】</w:t>
      </w:r>
    </w:p>
    <w:p>
      <w:pPr>
        <w:spacing w:after="80" w:line="269" w:lineRule="auto"/>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第9期基準額</w:t>
            </w:r>
          </w:p>
        </w:tc>
        <w:tc>
          <w:tcPr>
            <w:tcW w:type="dxa" w:w="1361"/>
            <w:shd w:val="clear" w:color="auto" w:fill="DCE6F1"/>
          </w:tcPr>
          <w:p>
            <w:pPr>
              <w:jc w:val="center"/>
            </w:pPr>
            <w:r/>
            <w:r>
              <w:rPr>
                <w:rFonts w:ascii="游ゴシック" w:hAnsi="游ゴシック" w:eastAsia="游ゴシック"/>
                <w:b/>
                <w:sz w:val="17"/>
              </w:rPr>
              <w:t>R6必要額</w:t>
            </w:r>
          </w:p>
        </w:tc>
        <w:tc>
          <w:tcPr>
            <w:tcW w:type="dxa" w:w="1361"/>
            <w:shd w:val="clear" w:color="auto" w:fill="DCE6F1"/>
          </w:tcPr>
          <w:p>
            <w:pPr>
              <w:jc w:val="center"/>
            </w:pPr>
            <w:r/>
            <w:r>
              <w:rPr>
                <w:rFonts w:ascii="游ゴシック" w:hAnsi="游ゴシック" w:eastAsia="游ゴシック"/>
                <w:b/>
                <w:sz w:val="17"/>
              </w:rPr>
              <w:t>R7必要額</w:t>
            </w:r>
          </w:p>
        </w:tc>
        <w:tc>
          <w:tcPr>
            <w:tcW w:type="dxa" w:w="1474"/>
            <w:shd w:val="clear" w:color="auto" w:fill="DCE6F1"/>
          </w:tcPr>
          <w:p>
            <w:pPr>
              <w:jc w:val="center"/>
            </w:pPr>
            <w:r/>
            <w:r>
              <w:rPr>
                <w:rFonts w:ascii="游ゴシック" w:hAnsi="游ゴシック" w:eastAsia="游ゴシック"/>
                <w:b/>
                <w:sz w:val="17"/>
              </w:rPr>
              <w:t>2年の剰余累計</w:t>
            </w:r>
          </w:p>
        </w:tc>
        <w:tc>
          <w:tcPr>
            <w:tcW w:type="dxa" w:w="1587"/>
            <w:shd w:val="clear" w:color="auto" w:fill="DCE6F1"/>
          </w:tcPr>
          <w:p>
            <w:pPr>
              <w:jc w:val="center"/>
            </w:pPr>
            <w:r/>
            <w:r>
              <w:rPr>
                <w:rFonts w:ascii="游ゴシック" w:hAnsi="游ゴシック" w:eastAsia="游ゴシック"/>
                <w:b/>
                <w:sz w:val="17"/>
              </w:rPr>
              <w:t>管内順位</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line="269" w:lineRule="auto"/>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【給付費の置き方によるちがい】</w:t>
      </w:r>
    </w:p>
    <w:p>
      <w:pPr>
        <w:spacing w:after="80" w:line="269" w:lineRule="auto"/>
      </w:pPr>
      <w:r>
        <w:rPr>
          <w:rFonts w:ascii="游ゴシック" w:hAnsi="游ゴシック" w:eastAsia="游ゴシック"/>
          <w:b w:val="0"/>
          <w:sz w:val="20"/>
        </w:rPr>
        <w:t>給付費の置き方について、次の3つを算定しました。上表は①によっています。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14"/>
            <w:shd w:val="clear" w:color="auto" w:fill="DCE6F1"/>
          </w:tcPr>
          <w:p>
            <w:pPr>
              <w:spacing w:before="0"/>
              <w:jc w:val="center"/>
            </w:pPr>
            <w:r/>
            <w:r>
              <w:rPr>
                <w:rFonts w:ascii="游ゴシック" w:hAnsi="游ゴシック" w:eastAsia="游ゴシック"/>
                <w:b/>
                <w:sz w:val="17"/>
              </w:rPr>
              <w:t>置き方</w:t>
            </w:r>
          </w:p>
        </w:tc>
        <w:tc>
          <w:tcPr>
            <w:tcW w:type="dxa" w:w="3402"/>
            <w:shd w:val="clear" w:color="auto" w:fill="DCE6F1"/>
          </w:tcPr>
          <w:p>
            <w:pPr>
              <w:jc w:val="center"/>
            </w:pPr>
            <w:r/>
            <w:r>
              <w:rPr>
                <w:rFonts w:ascii="游ゴシック" w:hAnsi="游ゴシック" w:eastAsia="游ゴシック"/>
                <w:b/>
                <w:sz w:val="17"/>
              </w:rPr>
              <w:t>内容</w:t>
            </w:r>
          </w:p>
        </w:tc>
        <w:tc>
          <w:tcPr>
            <w:tcW w:type="dxa" w:w="2041"/>
            <w:shd w:val="clear" w:color="auto" w:fill="DCE6F1"/>
          </w:tcPr>
          <w:p>
            <w:pPr>
              <w:jc w:val="center"/>
            </w:pPr>
            <w:r/>
            <w:r>
              <w:rPr>
                <w:rFonts w:ascii="游ゴシック" w:hAnsi="游ゴシック" w:eastAsia="游ゴシック"/>
                <w:b/>
                <w:sz w:val="17"/>
              </w:rPr>
              <w:t>総給付費（3か年計）</w:t>
            </w:r>
          </w:p>
        </w:tc>
        <w:tc>
          <w:tcPr>
            <w:tcW w:type="dxa" w:w="1474"/>
            <w:shd w:val="clear" w:color="auto" w:fill="DCE6F1"/>
          </w:tcPr>
          <w:p>
            <w:pPr>
              <w:jc w:val="center"/>
            </w:pPr>
            <w:r/>
            <w:r>
              <w:rPr>
                <w:rFonts w:ascii="游ゴシック" w:hAnsi="游ゴシック" w:eastAsia="游ゴシック"/>
                <w:b/>
                <w:sz w:val="17"/>
              </w:rPr>
              <w:t>算定上の月額</w:t>
            </w:r>
          </w:p>
        </w:tc>
      </w:tr>
      <w:tr>
        <w:trPr>
          <w:cantSplit/>
        </w:trP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9,035,114,142</w:t>
            </w:r>
          </w:p>
        </w:tc>
        <w:tc>
          <w:tcPr>
            <w:tcW w:type="dxa" w:w="1474"/>
          </w:tcPr>
          <w:p>
            <w:r/>
            <w:r>
              <w:rPr>
                <w:rFonts w:ascii="游ゴシック" w:hAnsi="游ゴシック" w:eastAsia="游ゴシック"/>
                <w:sz w:val="17"/>
              </w:rPr>
              <w:t>6,438円</w:t>
            </w:r>
          </w:p>
        </w:tc>
      </w:tr>
      <w:tr>
        <w:trPr>
          <w:cantSplit/>
        </w:trP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rPr>
          <w:cantSplit/>
        </w:trP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line="269" w:lineRule="auto"/>
      </w:pPr>
      <w:r>
        <w:rPr>
          <w:rFonts w:ascii="游ゴシック" w:hAnsi="游ゴシック" w:eastAsia="游ゴシック"/>
          <w:b w:val="0"/>
          <w:sz w:val="20"/>
        </w:rPr>
        <w:t>①と②の差は10円です。人口の高齢化により要介護度の構成が重度側へ動くため、要介護度別に置くと給付費はわずかに大きくなります。①と③の差302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【サービス別の趨勢を反映した場合】</w:t>
      </w:r>
    </w:p>
    <w:p>
      <w:pPr>
        <w:spacing w:after="80" w:line="269" w:lineRule="auto"/>
      </w:pPr>
      <w:r>
        <w:rPr>
          <w:rFonts w:ascii="游ゴシック" w:hAnsi="游ゴシック" w:eastAsia="游ゴシック"/>
          <w:b w:val="0"/>
          <w:sz w:val="20"/>
        </w:rPr>
        <w:t>上表の②一律の伸びは、サービスごとに伸びが異なるにもかかわらず認定者数の伸びを一律に当てるものです。第9期までの対計画比はサービス別に大きく開いており（第3章第3節1）、この開きを補正する置き方も試算しました。②を基礎として、サービス別の伸びと全体の伸びとの差を上限±3％で切り詰めたうえで50％だけ反映する方法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443"/>
            <w:shd w:val="clear" w:color="auto" w:fill="DCE6F1"/>
          </w:tcPr>
          <w:p>
            <w:pPr>
              <w:spacing w:before="0"/>
              <w:jc w:val="center"/>
            </w:pPr>
            <w:r/>
            <w:r>
              <w:rPr>
                <w:rFonts w:ascii="游ゴシック" w:hAnsi="游ゴシック" w:eastAsia="游ゴシック"/>
                <w:b/>
                <w:sz w:val="17"/>
              </w:rPr>
              <w:t>置き方</w:t>
            </w:r>
          </w:p>
        </w:tc>
        <w:tc>
          <w:tcPr>
            <w:tcW w:type="dxa" w:w="1814"/>
            <w:shd w:val="clear" w:color="auto" w:fill="DCE6F1"/>
          </w:tcPr>
          <w:p>
            <w:pPr>
              <w:jc w:val="center"/>
            </w:pPr>
            <w:r/>
            <w:r>
              <w:rPr>
                <w:rFonts w:ascii="游ゴシック" w:hAnsi="游ゴシック" w:eastAsia="游ゴシック"/>
                <w:b/>
                <w:sz w:val="17"/>
              </w:rPr>
              <w:t>算定上の月額</w:t>
            </w:r>
          </w:p>
        </w:tc>
        <w:tc>
          <w:tcPr>
            <w:tcW w:type="dxa" w:w="1814"/>
            <w:shd w:val="clear" w:color="auto" w:fill="DCE6F1"/>
          </w:tcPr>
          <w:p>
            <w:pPr>
              <w:jc w:val="center"/>
            </w:pPr>
            <w:r/>
            <w:r>
              <w:rPr>
                <w:rFonts w:ascii="游ゴシック" w:hAnsi="游ゴシック" w:eastAsia="游ゴシック"/>
                <w:b/>
                <w:sz w:val="17"/>
              </w:rPr>
              <w:t>②との差</w:t>
            </w:r>
          </w:p>
        </w:tc>
      </w:tr>
      <w:tr>
        <w:trPr>
          <w:cantSplit/>
        </w:trPr>
        <w:tc>
          <w:tcPr>
            <w:tcW w:type="dxa" w:w="5443"/>
          </w:tcPr>
          <w:p>
            <w:r/>
            <w:r>
              <w:rPr>
                <w:rFonts w:ascii="游ゴシック" w:hAnsi="游ゴシック" w:eastAsia="游ゴシック"/>
                <w:sz w:val="17"/>
              </w:rPr>
              <w:t>補正を行わない（②一律の伸び）</w:t>
            </w:r>
          </w:p>
        </w:tc>
        <w:tc>
          <w:tcPr>
            <w:tcW w:type="dxa" w:w="1814"/>
          </w:tcPr>
          <w:p>
            <w:r/>
            <w:r>
              <w:rPr>
                <w:rFonts w:ascii="游ゴシック" w:hAnsi="游ゴシック" w:eastAsia="游ゴシック"/>
                <w:sz w:val="17"/>
              </w:rPr>
              <w:t>6,428円</w:t>
            </w:r>
          </w:p>
        </w:tc>
        <w:tc>
          <w:tcPr>
            <w:tcW w:type="dxa" w:w="1814"/>
          </w:tcPr>
          <w:p>
            <w:r/>
            <w:r>
              <w:rPr>
                <w:rFonts w:ascii="游ゴシック" w:hAnsi="游ゴシック" w:eastAsia="游ゴシック"/>
                <w:sz w:val="17"/>
              </w:rPr>
              <w:t>＋0円</w:t>
            </w:r>
          </w:p>
        </w:tc>
      </w:tr>
      <w:tr>
        <w:trPr>
          <w:cantSplit/>
        </w:trPr>
        <w:tc>
          <w:tcPr>
            <w:tcW w:type="dxa" w:w="5443"/>
          </w:tcPr>
          <w:p>
            <w:r/>
            <w:r>
              <w:rPr>
                <w:rFonts w:ascii="游ゴシック" w:hAnsi="游ゴシック" w:eastAsia="游ゴシック"/>
                <w:sz w:val="17"/>
              </w:rPr>
              <w:t>サービス別の趨勢を50％反映する</w:t>
            </w:r>
          </w:p>
        </w:tc>
        <w:tc>
          <w:tcPr>
            <w:tcW w:type="dxa" w:w="1814"/>
          </w:tcPr>
          <w:p>
            <w:r/>
            <w:r>
              <w:rPr>
                <w:rFonts w:ascii="游ゴシック" w:hAnsi="游ゴシック" w:eastAsia="游ゴシック"/>
                <w:sz w:val="17"/>
              </w:rPr>
              <w:t>6,371円</w:t>
            </w:r>
          </w:p>
        </w:tc>
        <w:tc>
          <w:tcPr>
            <w:tcW w:type="dxa" w:w="1814"/>
          </w:tcPr>
          <w:p>
            <w:r/>
            <w:r>
              <w:rPr>
                <w:rFonts w:ascii="游ゴシック" w:hAnsi="游ゴシック" w:eastAsia="游ゴシック"/>
                <w:sz w:val="17"/>
              </w:rPr>
              <w:t>▲58円</w:t>
            </w:r>
          </w:p>
        </w:tc>
      </w:tr>
      <w:tr>
        <w:trPr>
          <w:cantSplit/>
        </w:trPr>
        <w:tc>
          <w:tcPr>
            <w:tcW w:type="dxa" w:w="5443"/>
          </w:tcPr>
          <w:p>
            <w:r/>
            <w:r>
              <w:rPr>
                <w:rFonts w:ascii="游ゴシック" w:hAnsi="游ゴシック" w:eastAsia="游ゴシック"/>
                <w:sz w:val="17"/>
              </w:rPr>
              <w:t>同・施設及び居住系は減らさない</w:t>
            </w:r>
          </w:p>
        </w:tc>
        <w:tc>
          <w:tcPr>
            <w:tcW w:type="dxa" w:w="1814"/>
          </w:tcPr>
          <w:p>
            <w:r/>
            <w:r>
              <w:rPr>
                <w:rFonts w:ascii="游ゴシック" w:hAnsi="游ゴシック" w:eastAsia="游ゴシック"/>
                <w:sz w:val="17"/>
              </w:rPr>
              <w:t>6,476円</w:t>
            </w:r>
          </w:p>
        </w:tc>
        <w:tc>
          <w:tcPr>
            <w:tcW w:type="dxa" w:w="1814"/>
          </w:tcPr>
          <w:p>
            <w:r/>
            <w:r>
              <w:rPr>
                <w:rFonts w:ascii="游ゴシック" w:hAnsi="游ゴシック" w:eastAsia="游ゴシック"/>
                <w:sz w:val="17"/>
              </w:rPr>
              <w:t>＋48円</w:t>
            </w:r>
          </w:p>
        </w:tc>
      </w:tr>
    </w:tbl>
    <w:p>
      <w:pPr>
        <w:spacing w:after="160" w:line="269" w:lineRule="auto"/>
        <w:jc w:val="right"/>
      </w:pPr>
      <w:r>
        <w:rPr>
          <w:rFonts w:ascii="游ゴシック" w:hAnsi="游ゴシック" w:eastAsia="游ゴシック"/>
          <w:b w:val="0"/>
          <w:sz w:val="17"/>
        </w:rPr>
        <w:t>資料：対計画比の偏りの補正試算</w:t>
      </w:r>
    </w:p>
    <w:p>
      <w:pPr>
        <w:spacing w:after="80" w:line="269" w:lineRule="auto"/>
      </w:pPr>
      <w:r>
        <w:rPr>
          <w:rFonts w:ascii="游ゴシック" w:hAnsi="游ゴシック" w:eastAsia="游ゴシック"/>
          <w:b w:val="0"/>
          <w:sz w:val="20"/>
        </w:rPr>
        <w:t>符号は施設・居住系の扱いで反転します。施設・居住系の実績の減少には定員の縮小が含まれており（第4節2）、趨勢をそのまま延長すると「さらに定員が縮小する」ことを前提にしてしまいます。本計画の見込量は補正を行っていません［要協議］。</w:t>
      </w:r>
    </w:p>
    <w:p>
      <w:pPr>
        <w:spacing w:after="80" w:line="269" w:lineRule="auto"/>
      </w:pPr>
      <w:r>
        <w:rPr>
          <w:rFonts w:ascii="游ゴシック" w:hAnsi="游ゴシック" w:eastAsia="游ゴシック"/>
          <w:b w:val="0"/>
          <w:sz w:val="20"/>
        </w:rPr>
        <w:t>特に認知症対応型共同生活介護は、区域全体の定員が平成28年から令和2年の115人から令和4年以降99人に減っており、令和4年度の落ち込みは1事業所の定員縮小によるものです（令和6年度から令和7年度は増に転じています）。介護老人福祉施設も平成29年度の234人から令和2年度以降160人へ縮小しています。この2つのサービスは、実績の減少が定員の縮小によるものであるため、補正を行う場合でも対象から外す扱いとします［要協議］。</w:t>
      </w:r>
    </w:p>
    <w:p>
      <w:pPr>
        <w:spacing w:after="160" w:line="269" w:lineRule="auto"/>
      </w:pPr>
      <w:r>
        <w:rPr>
          <w:rFonts w:ascii="游ゴシック" w:hAnsi="游ゴシック" w:eastAsia="游ゴシック"/>
          <w:b w:val="0"/>
          <w:sz w:val="17"/>
        </w:rPr>
        <w:t>注）上表の基礎は②一律の伸びであり、本計画が採用している①要介護度別とは基礎が異なります。総給付費の予測誤差は、過去の実績による検証で一律1.68％に対し補正1.13％です。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国の様式には保険料収納必要額から交付金の交付見込額を控除する欄がありますが、本計画はBから当該2事業を除く方法によっているため、収納必要額からの控除は行っていません。両方を行うと同じ額を二重に控除することになります［要確認］。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line="269" w:lineRule="auto"/>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調整交付金の一定の取組による減額</w:t>
            </w:r>
          </w:p>
        </w:tc>
        <w:tc>
          <w:tcPr>
            <w:tcW w:type="dxa" w:w="2268"/>
          </w:tcPr>
          <w:p>
            <w:r/>
            <w:r>
              <w:rPr>
                <w:rFonts w:ascii="游ゴシック" w:hAnsi="游ゴシック" w:eastAsia="游ゴシック"/>
                <w:sz w:val="17"/>
              </w:rPr>
              <w:t>減額なし</w:t>
            </w:r>
          </w:p>
        </w:tc>
        <w:tc>
          <w:tcPr>
            <w:tcW w:type="dxa" w:w="2721"/>
          </w:tcPr>
          <w:p>
            <w:r/>
            <w:r>
              <w:rPr>
                <w:rFonts w:ascii="游ゴシック" w:hAnsi="游ゴシック" w:eastAsia="游ゴシック"/>
                <w:sz w:val="17"/>
              </w:rPr>
              <w:t>調整交付金見込額が5％減少した場合</w:t>
            </w:r>
          </w:p>
        </w:tc>
        <w:tc>
          <w:tcPr>
            <w:tcW w:type="dxa" w:w="1134"/>
          </w:tcPr>
          <w:p>
            <w:r/>
            <w:r>
              <w:rPr>
                <w:rFonts w:ascii="游ゴシック" w:hAnsi="游ゴシック" w:eastAsia="游ゴシック"/>
                <w:sz w:val="17"/>
              </w:rPr>
              <w:t>6,551円</w:t>
            </w:r>
          </w:p>
        </w:tc>
        <w:tc>
          <w:tcPr>
            <w:tcW w:type="dxa" w:w="1134"/>
          </w:tcPr>
          <w:p>
            <w:r/>
            <w:r>
              <w:rPr>
                <w:rFonts w:ascii="游ゴシック" w:hAnsi="游ゴシック" w:eastAsia="游ゴシック"/>
                <w:sz w:val="17"/>
              </w:rPr>
              <w:t>＋112円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80" w:line="269" w:lineRule="auto"/>
      </w:pPr>
      <w:r>
        <w:rPr>
          <w:rFonts w:ascii="游ゴシック" w:hAnsi="游ゴシック" w:eastAsia="游ゴシック"/>
          <w:b w:val="0"/>
          <w:sz w:val="20"/>
        </w:rPr>
        <w:t>調整交付金については、年齢区分の精緻化により交付額が増加する保険者が介護給付適正化の主要3事業のいずれかを実施していない場合、又は1人当たり給付費が外れ値に該当した保険者が帳票を活用した点検の実施率等を前年度の水準以上に保てなかった場合に、増加した額の5％を減額することとされています（第1章第9節5）。当広域連合はケアプラン等の点検を実施していないため、交付額が増加する場合は減額の対象となります（第5章 基本目標5）。減額の額は年齢区分の精緻化による増加額によって決まるため、当広域連合に係る交付割合が示されるまでは算定できません。本表の「調整交付金の一定の取組による減額」の欄は、減額が保険料に及ぶ大きさを見るために調整交付金見込額が5％減少した場合の値を示したものであり、減額の見込額ではありません。</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br/>
        <w:t>注3）「調整交付金の一定の取組による減額」は、調整交付金見込額が5％減少した場合の値です。実際の減額は年齢区分の精緻化による増加額の5％であり、増加額が示された時点で算定します［要確認］。</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r>
        <w:trPr>
          <w:cantSplit/>
        </w:trPr>
        <w:tc>
          <w:tcPr>
            <w:tcW w:type="dxa" w:w="1424"/>
          </w:tcPr>
          <w:p>
            <w:r/>
            <w:r>
              <w:rPr>
                <w:rFonts w:ascii="游ゴシック" w:hAnsi="游ゴシック" w:eastAsia="游ゴシック"/>
                <w:sz w:val="17"/>
              </w:rPr>
              <w:t>利用者負担の見直し</w:t>
            </w:r>
          </w:p>
        </w:tc>
        <w:tc>
          <w:tcPr>
            <w:tcW w:type="dxa" w:w="4602"/>
          </w:tcPr>
          <w:p>
            <w:r/>
            <w:r>
              <w:rPr>
                <w:rFonts w:ascii="游ゴシック" w:hAnsi="游ゴシック" w:eastAsia="游ゴシック"/>
                <w:sz w:val="17"/>
              </w:rPr>
              <w:t>一定以上所得の判断基準が見直され、利用者負担2割の対象が広がった場合。給付費が減る一方、負担を理由とする利用控えが生じた場合の将来の重度化も併せて見る</w:t>
            </w:r>
          </w:p>
        </w:tc>
        <w:tc>
          <w:tcPr>
            <w:tcW w:type="dxa" w:w="3725"/>
          </w:tcPr>
          <w:p>
            <w:r/>
            <w:r>
              <w:rPr>
                <w:rFonts w:ascii="游ゴシック" w:hAnsi="游ゴシック" w:eastAsia="游ゴシック"/>
                <w:sz w:val="17"/>
              </w:rPr>
              <w:t>保険料必要額への影響と利用控えの確認</w:t>
            </w:r>
          </w:p>
        </w:tc>
      </w:tr>
      <w:tr>
        <w:trPr>
          <w:cantSplit/>
        </w:trPr>
        <w:tc>
          <w:tcPr>
            <w:tcW w:type="dxa" w:w="1424"/>
          </w:tcPr>
          <w:p>
            <w:r/>
            <w:r>
              <w:rPr>
                <w:rFonts w:ascii="游ゴシック" w:hAnsi="游ゴシック" w:eastAsia="游ゴシック"/>
                <w:sz w:val="17"/>
              </w:rPr>
              <w:t>所得段階の見直し</w:t>
            </w:r>
          </w:p>
        </w:tc>
        <w:tc>
          <w:tcPr>
            <w:tcW w:type="dxa" w:w="4602"/>
          </w:tcPr>
          <w:p>
            <w:r/>
            <w:r>
              <w:rPr>
                <w:rFonts w:ascii="游ゴシック" w:hAnsi="游ゴシック" w:eastAsia="游ゴシック"/>
                <w:sz w:val="17"/>
              </w:rPr>
              <w:t>国の標準段階及び乗率が改められた場合（第5項の3案）</w:t>
            </w:r>
          </w:p>
        </w:tc>
        <w:tc>
          <w:tcPr>
            <w:tcW w:type="dxa" w:w="3725"/>
          </w:tcPr>
          <w:p>
            <w:r/>
            <w:r>
              <w:rPr>
                <w:rFonts w:ascii="游ゴシック" w:hAnsi="游ゴシック" w:eastAsia="游ゴシック"/>
                <w:sz w:val="17"/>
              </w:rPr>
              <w:t>段階別の負担の配分と基準額の確認</w:t>
            </w:r>
          </w:p>
        </w:tc>
      </w:tr>
    </w:tbl>
    <w:p>
      <w:pPr>
        <w:spacing w:after="80" w:line="269" w:lineRule="auto"/>
      </w:pPr>
      <w:r>
        <w:rPr>
          <w:rFonts w:ascii="游ゴシック" w:hAnsi="游ゴシック" w:eastAsia="游ゴシック"/>
          <w:b w:val="0"/>
          <w:sz w:val="20"/>
        </w:rPr>
        <w:t>利用者負担の一定以上所得の判断基準は、第10期計画期間の開始前までに結論を得ることとされており、見直しの内容及び施行の時期は定まっていません（第1章第9節4）。基準が示された時点で、対象となる方の数を確認し、第3節の給付費に加えて本節の保険料収納必要額まで再算定します。負担を理由とする利用の控えは、給付費を一時的に下げる一方で重度化を通じて将来の給付費を上げる方向に働くため、見込量に織り込むのではなく上記のシナリオとして別に確認します［要確認］。</w:t>
      </w:r>
    </w:p>
    <w:p>
      <w:pPr>
        <w:pStyle w:val="Heading3"/>
        <w:spacing w:before="180" w:after="10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年齢区分の精緻化により交付額が増加する保険者が介護給付適正化の主要3事業のいずれかを実施していない場合は、増加した額の5％が減額されることとされています（第1章第9節5）。当広域連合はケアプラン等の点検を実施していないためこの減額の対象となりますが、増加額が示されていないため本表は減額を織り込んでいません（第5章 基本目標5）［要確認］。</w:t>
      </w:r>
    </w:p>
    <w:p>
      <w:pPr>
        <w:pStyle w:val="Heading3"/>
        <w:spacing w:before="180" w:after="10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【所得段階の置き方による保険料の違い】</w:t>
      </w:r>
    </w:p>
    <w:p>
      <w:pPr>
        <w:spacing w:after="80" w:line="269" w:lineRule="auto"/>
      </w:pPr>
      <w:r>
        <w:rPr>
          <w:rFonts w:ascii="游ゴシック" w:hAnsi="游ゴシック" w:eastAsia="游ゴシック"/>
          <w:b w:val="0"/>
          <w:sz w:val="20"/>
        </w:rPr>
        <w:t>当広域連合の所得段階は、第9期の条例により、国の標準13段階のうち第13段階を多段階化した16段階となっています。標準と割合が異なる段階が9、標準にない段階が3あります。国の標準段階が見直された場合の選択肢として、次の3つの置き方による保険料を比較します。</w:t>
      </w:r>
    </w:p>
    <w:p>
      <w:pPr>
        <w:spacing w:after="20" w:line="269" w:lineRule="auto"/>
        <w:jc w:val="right"/>
      </w:pPr>
      <w:r>
        <w:rPr>
          <w:rFonts w:ascii="游ゴシック" w:hAnsi="游ゴシック" w:eastAsia="游ゴシック"/>
          <w:b w:val="0"/>
          <w:sz w:val="17"/>
        </w:rPr>
        <w:t>所得段階の置き方による保険料の比較（令和9〜11年度）</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629"/>
            <w:shd w:val="clear" w:color="auto" w:fill="DCE6F1"/>
          </w:tcPr>
          <w:p>
            <w:pPr>
              <w:spacing w:before="0"/>
              <w:jc w:val="center"/>
            </w:pPr>
            <w:r/>
            <w:r>
              <w:rPr>
                <w:rFonts w:ascii="游ゴシック" w:hAnsi="游ゴシック" w:eastAsia="游ゴシック"/>
                <w:b/>
                <w:sz w:val="17"/>
              </w:rPr>
              <w:t>案</w:t>
            </w:r>
          </w:p>
        </w:tc>
        <w:tc>
          <w:tcPr>
            <w:tcW w:type="dxa" w:w="3250"/>
            <w:shd w:val="clear" w:color="auto" w:fill="DCE6F1"/>
          </w:tcPr>
          <w:p>
            <w:pPr>
              <w:jc w:val="center"/>
            </w:pPr>
            <w:r/>
            <w:r>
              <w:rPr>
                <w:rFonts w:ascii="游ゴシック" w:hAnsi="游ゴシック" w:eastAsia="游ゴシック"/>
                <w:b/>
                <w:sz w:val="17"/>
              </w:rPr>
              <w:t>置き方</w:t>
            </w:r>
          </w:p>
        </w:tc>
        <w:tc>
          <w:tcPr>
            <w:tcW w:type="dxa" w:w="944"/>
            <w:shd w:val="clear" w:color="auto" w:fill="DCE6F1"/>
          </w:tcPr>
          <w:p>
            <w:pPr>
              <w:jc w:val="center"/>
            </w:pPr>
            <w:r/>
            <w:r>
              <w:rPr>
                <w:rFonts w:ascii="游ゴシック" w:hAnsi="游ゴシック" w:eastAsia="游ゴシック"/>
                <w:b/>
                <w:sz w:val="17"/>
              </w:rPr>
              <w:t>段階数</w:t>
            </w:r>
          </w:p>
        </w:tc>
        <w:tc>
          <w:tcPr>
            <w:tcW w:type="dxa" w:w="1468"/>
            <w:shd w:val="clear" w:color="auto" w:fill="DCE6F1"/>
          </w:tcPr>
          <w:p>
            <w:pPr>
              <w:jc w:val="center"/>
            </w:pPr>
            <w:r/>
            <w:r>
              <w:rPr>
                <w:rFonts w:ascii="游ゴシック" w:hAnsi="游ゴシック" w:eastAsia="游ゴシック"/>
                <w:b/>
                <w:sz w:val="17"/>
              </w:rPr>
              <w:t>補正後被保険者数（3か年）</w:t>
            </w:r>
          </w:p>
        </w:tc>
        <w:tc>
          <w:tcPr>
            <w:tcW w:type="dxa" w:w="1363"/>
            <w:shd w:val="clear" w:color="auto" w:fill="DCE6F1"/>
          </w:tcPr>
          <w:p>
            <w:pPr>
              <w:jc w:val="center"/>
            </w:pPr>
            <w:r/>
            <w:r>
              <w:rPr>
                <w:rFonts w:ascii="游ゴシック" w:hAnsi="游ゴシック" w:eastAsia="游ゴシック"/>
                <w:b/>
                <w:sz w:val="17"/>
              </w:rPr>
              <w:t>割合が変わる被保険者数（R9）</w:t>
            </w:r>
          </w:p>
        </w:tc>
        <w:tc>
          <w:tcPr>
            <w:tcW w:type="dxa" w:w="1258"/>
            <w:shd w:val="clear" w:color="auto" w:fill="DCE6F1"/>
          </w:tcPr>
          <w:p>
            <w:pPr>
              <w:jc w:val="center"/>
            </w:pPr>
            <w:r/>
            <w:r>
              <w:rPr>
                <w:rFonts w:ascii="游ゴシック" w:hAnsi="游ゴシック" w:eastAsia="游ゴシック"/>
                <w:b/>
                <w:sz w:val="17"/>
              </w:rPr>
              <w:t>算定上の月額基準額</w:t>
            </w:r>
          </w:p>
        </w:tc>
        <w:tc>
          <w:tcPr>
            <w:tcW w:type="dxa" w:w="839"/>
            <w:shd w:val="clear" w:color="auto" w:fill="DCE6F1"/>
          </w:tcPr>
          <w:p>
            <w:pPr>
              <w:jc w:val="center"/>
            </w:pPr>
            <w:r/>
            <w:r>
              <w:rPr>
                <w:rFonts w:ascii="游ゴシック" w:hAnsi="游ゴシック" w:eastAsia="游ゴシック"/>
                <w:b/>
                <w:sz w:val="17"/>
              </w:rPr>
              <w:t>差</w:t>
            </w:r>
          </w:p>
        </w:tc>
      </w:tr>
      <w:tr>
        <w:trPr>
          <w:cantSplit/>
        </w:trPr>
        <w:tc>
          <w:tcPr>
            <w:tcW w:type="dxa" w:w="629"/>
          </w:tcPr>
          <w:p>
            <w:r/>
            <w:r>
              <w:rPr>
                <w:rFonts w:ascii="游ゴシック" w:hAnsi="游ゴシック" w:eastAsia="游ゴシック"/>
                <w:sz w:val="17"/>
              </w:rPr>
              <w:t>①</w:t>
            </w:r>
          </w:p>
        </w:tc>
        <w:tc>
          <w:tcPr>
            <w:tcW w:type="dxa" w:w="3250"/>
          </w:tcPr>
          <w:p>
            <w:r/>
            <w:r>
              <w:rPr>
                <w:rFonts w:ascii="游ゴシック" w:hAnsi="游ゴシック" w:eastAsia="游ゴシック"/>
                <w:sz w:val="17"/>
              </w:rPr>
              <w:t>第9期の条例による段階及び割合を据え置く（本計画の算定）</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27,301.2人</w:t>
            </w:r>
          </w:p>
        </w:tc>
        <w:tc>
          <w:tcPr>
            <w:tcW w:type="dxa" w:w="1363"/>
          </w:tcPr>
          <w:p>
            <w:r/>
            <w:r>
              <w:rPr>
                <w:rFonts w:ascii="游ゴシック" w:hAnsi="游ゴシック" w:eastAsia="游ゴシック"/>
                <w:sz w:val="17"/>
              </w:rPr>
              <w:t>―</w:t>
            </w:r>
          </w:p>
        </w:tc>
        <w:tc>
          <w:tcPr>
            <w:tcW w:type="dxa" w:w="1258"/>
          </w:tcPr>
          <w:p>
            <w:r/>
            <w:r>
              <w:rPr>
                <w:rFonts w:ascii="游ゴシック" w:hAnsi="游ゴシック" w:eastAsia="游ゴシック"/>
                <w:sz w:val="17"/>
              </w:rPr>
              <w:t>6,438円</w:t>
            </w:r>
          </w:p>
        </w:tc>
        <w:tc>
          <w:tcPr>
            <w:tcW w:type="dxa" w:w="839"/>
          </w:tcPr>
          <w:p>
            <w:r/>
            <w:r>
              <w:rPr>
                <w:rFonts w:ascii="游ゴシック" w:hAnsi="游ゴシック" w:eastAsia="游ゴシック"/>
                <w:sz w:val="17"/>
              </w:rPr>
              <w:t>―</w:t>
            </w:r>
          </w:p>
        </w:tc>
      </w:tr>
      <w:tr>
        <w:trPr>
          <w:cantSplit/>
        </w:trPr>
        <w:tc>
          <w:tcPr>
            <w:tcW w:type="dxa" w:w="629"/>
          </w:tcPr>
          <w:p>
            <w:r/>
            <w:r>
              <w:rPr>
                <w:rFonts w:ascii="游ゴシック" w:hAnsi="游ゴシック" w:eastAsia="游ゴシック"/>
                <w:sz w:val="17"/>
              </w:rPr>
              <w:t>②</w:t>
            </w:r>
          </w:p>
        </w:tc>
        <w:tc>
          <w:tcPr>
            <w:tcW w:type="dxa" w:w="3250"/>
          </w:tcPr>
          <w:p>
            <w:r/>
            <w:r>
              <w:rPr>
                <w:rFonts w:ascii="游ゴシック" w:hAnsi="游ゴシック" w:eastAsia="游ゴシック"/>
                <w:sz w:val="17"/>
              </w:rPr>
              <w:t>国の標準の段階及び割合に合わせ、多段階化した第14段階から第16段階を第13段階に束ねる</w:t>
            </w:r>
          </w:p>
        </w:tc>
        <w:tc>
          <w:tcPr>
            <w:tcW w:type="dxa" w:w="944"/>
          </w:tcPr>
          <w:p>
            <w:r/>
            <w:r>
              <w:rPr>
                <w:rFonts w:ascii="游ゴシック" w:hAnsi="游ゴシック" w:eastAsia="游ゴシック"/>
                <w:sz w:val="17"/>
              </w:rPr>
              <w:t>13段階</w:t>
            </w:r>
          </w:p>
        </w:tc>
        <w:tc>
          <w:tcPr>
            <w:tcW w:type="dxa" w:w="1468"/>
          </w:tcPr>
          <w:p>
            <w:r/>
            <w:r>
              <w:rPr>
                <w:rFonts w:ascii="游ゴシック" w:hAnsi="游ゴシック" w:eastAsia="游ゴシック"/>
                <w:sz w:val="17"/>
              </w:rPr>
              <w:t>27,093.2人</w:t>
            </w:r>
          </w:p>
        </w:tc>
        <w:tc>
          <w:tcPr>
            <w:tcW w:type="dxa" w:w="1363"/>
          </w:tcPr>
          <w:p>
            <w:r/>
            <w:r>
              <w:rPr>
                <w:rFonts w:ascii="游ゴシック" w:hAnsi="游ゴシック" w:eastAsia="游ゴシック"/>
                <w:sz w:val="17"/>
              </w:rPr>
              <w:t>5,463人</w:t>
            </w:r>
          </w:p>
        </w:tc>
        <w:tc>
          <w:tcPr>
            <w:tcW w:type="dxa" w:w="1258"/>
          </w:tcPr>
          <w:p>
            <w:r/>
            <w:r>
              <w:rPr>
                <w:rFonts w:ascii="游ゴシック" w:hAnsi="游ゴシック" w:eastAsia="游ゴシック"/>
                <w:sz w:val="17"/>
              </w:rPr>
              <w:t>6,488円</w:t>
            </w:r>
          </w:p>
        </w:tc>
        <w:tc>
          <w:tcPr>
            <w:tcW w:type="dxa" w:w="839"/>
          </w:tcPr>
          <w:p>
            <w:r/>
            <w:r>
              <w:rPr>
                <w:rFonts w:ascii="游ゴシック" w:hAnsi="游ゴシック" w:eastAsia="游ゴシック"/>
                <w:sz w:val="17"/>
              </w:rPr>
              <w:t>＋49円</w:t>
            </w:r>
          </w:p>
        </w:tc>
      </w:tr>
      <w:tr>
        <w:trPr>
          <w:cantSplit/>
        </w:trPr>
        <w:tc>
          <w:tcPr>
            <w:tcW w:type="dxa" w:w="629"/>
          </w:tcPr>
          <w:p>
            <w:r/>
            <w:r>
              <w:rPr>
                <w:rFonts w:ascii="游ゴシック" w:hAnsi="游ゴシック" w:eastAsia="游ゴシック"/>
                <w:sz w:val="17"/>
              </w:rPr>
              <w:t>③</w:t>
            </w:r>
          </w:p>
        </w:tc>
        <w:tc>
          <w:tcPr>
            <w:tcW w:type="dxa" w:w="3250"/>
          </w:tcPr>
          <w:p>
            <w:r/>
            <w:r>
              <w:rPr>
                <w:rFonts w:ascii="游ゴシック" w:hAnsi="游ゴシック" w:eastAsia="游ゴシック"/>
                <w:sz w:val="17"/>
              </w:rPr>
              <w:t>標準の段階（第1段階から第13段階）は標準の割合によりつつ、多段階化した第14段階から第16段階は条例の割合を維持する</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27,142.5人</w:t>
            </w:r>
          </w:p>
        </w:tc>
        <w:tc>
          <w:tcPr>
            <w:tcW w:type="dxa" w:w="1363"/>
          </w:tcPr>
          <w:p>
            <w:r/>
            <w:r>
              <w:rPr>
                <w:rFonts w:ascii="游ゴシック" w:hAnsi="游ゴシック" w:eastAsia="游ゴシック"/>
                <w:sz w:val="17"/>
              </w:rPr>
              <w:t>5,375人</w:t>
            </w:r>
          </w:p>
        </w:tc>
        <w:tc>
          <w:tcPr>
            <w:tcW w:type="dxa" w:w="1258"/>
          </w:tcPr>
          <w:p>
            <w:r/>
            <w:r>
              <w:rPr>
                <w:rFonts w:ascii="游ゴシック" w:hAnsi="游ゴシック" w:eastAsia="游ゴシック"/>
                <w:sz w:val="17"/>
              </w:rPr>
              <w:t>6,476円</w:t>
            </w:r>
          </w:p>
        </w:tc>
        <w:tc>
          <w:tcPr>
            <w:tcW w:type="dxa" w:w="839"/>
          </w:tcPr>
          <w:p>
            <w:r/>
            <w:r>
              <w:rPr>
                <w:rFonts w:ascii="游ゴシック" w:hAnsi="游ゴシック" w:eastAsia="游ゴシック"/>
                <w:sz w:val="17"/>
              </w:rPr>
              <w:t>＋38円</w:t>
            </w:r>
          </w:p>
        </w:tc>
      </w:tr>
    </w:tbl>
    <w:p>
      <w:pPr>
        <w:spacing w:after="160" w:line="269" w:lineRule="auto"/>
        <w:jc w:val="right"/>
      </w:pPr>
      <w:r>
        <w:rPr>
          <w:rFonts w:ascii="游ゴシック" w:hAnsi="游ゴシック" w:eastAsia="游ゴシック"/>
          <w:b w:val="0"/>
          <w:sz w:val="17"/>
        </w:rPr>
        <w:t>資料：所得段階別第1号被保険者数の将来推計、将来推計 第3段階（給付費と保険料）</w:t>
      </w:r>
    </w:p>
    <w:p>
      <w:pPr>
        <w:spacing w:after="80" w:line="269" w:lineRule="auto"/>
      </w:pPr>
      <w:r>
        <w:rPr>
          <w:rFonts w:ascii="游ゴシック" w:hAnsi="游ゴシック" w:eastAsia="游ゴシック"/>
          <w:b w:val="0"/>
          <w:sz w:val="20"/>
        </w:rPr>
        <w:t>②国の標準に合わせる場合は、多段階化により高い割合を負担していただいている方の割合が標準の最高乗率まで下がるため、補正後被保険者数が減り、基準額は上がります。③標準の段階のみを標準の割合に改める場合も同じ向きに働きます。いずれも保険料収納必要額は変わらず、段階別の負担の配分が変わることにより基準額が動くものです。</w:t>
      </w:r>
    </w:p>
    <w:p>
      <w:pPr>
        <w:spacing w:after="160" w:line="269" w:lineRule="auto"/>
      </w:pPr>
      <w:r>
        <w:rPr>
          <w:rFonts w:ascii="游ゴシック" w:hAnsi="游ゴシック" w:eastAsia="游ゴシック"/>
          <w:b w:val="0"/>
          <w:sz w:val="17"/>
        </w:rPr>
        <w:t>注1）いずれの案も公費による軽減前の割合によっています。保険料収納必要額、予定収納率99.0％及び段階別の第1号被保険者数は3案で同じものを用い、割合のみを置き換えています。補正後被保険者数及び月額は、第4項の値に段階別の人数に割合を乗じた和の比を乗じて求めたものです。</w:t>
        <w:br/>
        <w:t>注2）「割合が変わる被保険者数」は、現行の条例の割合と異なる割合となる段階に属する方の数です（令和9年度の推計値）。</w:t>
        <w:br/>
        <w:t>注3）国の標準段階の見直しの内容は示されていないため、②及び③は現行の標準による試算です。高所得者の標準乗率が引き上げられた場合は、いずれの案も基準額を下げる向きに働きます。政令が改められた時点で算定し直します［要確認］。</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【低所得者に係る負担軽減の見直し】</w:t>
      </w:r>
    </w:p>
    <w:p>
      <w:pPr>
        <w:spacing w:after="80" w:line="269" w:lineRule="auto"/>
      </w:pPr>
      <w:r>
        <w:rPr>
          <w:rFonts w:ascii="游ゴシック" w:hAnsi="游ゴシック" w:eastAsia="游ゴシック"/>
          <w:b w:val="0"/>
          <w:sz w:val="21"/>
        </w:rPr>
        <w:t>低所得者に係る負担軽減の仕組みについて、第10期の計画期間の前後に次の見直しが行われ、又は検討されてい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令和9年度から。第10期計画期間（令和9年度から）からの実施を基本とすることとされている</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利用者負担の一定以上所得の判断基準の在り方について、社会保障審議会介護保険部会で継続して検討する。見直しの内容及び施行の時期は定まっていない。</w:t>
            </w:r>
          </w:p>
        </w:tc>
        <w:tc>
          <w:tcPr>
            <w:tcW w:type="dxa" w:w="2739"/>
          </w:tcPr>
          <w:p>
            <w:r/>
            <w:r>
              <w:rPr>
                <w:rFonts w:ascii="游ゴシック" w:hAnsi="游ゴシック" w:eastAsia="游ゴシック"/>
                <w:sz w:val="17"/>
              </w:rPr>
              <w:t>第10期計画期間の開始（令和9年度）の前までに結論。施行の時期は未定</w:t>
            </w:r>
          </w:p>
        </w:tc>
      </w:tr>
    </w:tbl>
    <w:p>
      <w:pPr>
        <w:spacing w:after="80" w:line="269" w:lineRule="auto"/>
      </w:pPr>
      <w:r>
        <w:rPr>
          <w:rFonts w:ascii="游ゴシック" w:hAnsi="游ゴシック" w:eastAsia="游ゴシック"/>
          <w:b w:val="0"/>
          <w:sz w:val="20"/>
        </w:rPr>
        <w:t>補足給付の所得区分の細分化は、令和9年度から行われます。対象となる方に必要な負担軽減が確実に届くよう、認定証の更新の時期に合わせた個別の案内を行うとともに、未申請の把握と申請の勧奨を構成3町と連携して行います。負担限度額、対象者数及び影響額は［要確認］として残し、省令・告示等が示された時点で補います。</w:t>
      </w:r>
    </w:p>
    <w:p>
      <w:pPr>
        <w:spacing w:after="80" w:line="269" w:lineRule="auto"/>
      </w:pPr>
      <w:r>
        <w:rPr>
          <w:rFonts w:ascii="游ゴシック" w:hAnsi="游ゴシック" w:eastAsia="游ゴシック"/>
          <w:b w:val="0"/>
          <w:sz w:val="20"/>
        </w:rPr>
        <w:t>一定以上所得基準の見直しについては、第10期計画期間の開始前までに結論を得ることとされているにとどまり、見直しの内容及び施行の時期は示されていません。本計画は現行の基準により給付費及び保険料を算定しており、見直しを織り込んでいません。基準及び施行の時期が示された時点で、対象となる方の数を確認したうえで第3節の給付費及び第6節の保険料収納必要額を再算定します［要確認］。多床室の室料負担、高額介護サービス費の在り方及び金融所得・金融資産の反映の在り方も引き続き検討することとされており（第1章第9節5）、いずれも結論が示された時点で影響を確認し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業務継続計画の策定を確認した地域密着型サービス事業所の割合（改称）</w:t>
            </w:r>
          </w:p>
        </w:tc>
        <w:tc>
          <w:tcPr>
            <w:tcW w:type="dxa" w:w="1753"/>
          </w:tcPr>
          <w:p>
            <w:r/>
            <w:r>
              <w:rPr>
                <w:rFonts w:ascii="游ゴシック" w:hAnsi="游ゴシック" w:eastAsia="游ゴシック"/>
                <w:sz w:val="17"/>
              </w:rPr>
              <w:t>指定、指定の更新又は運営指導の際に、感染症又は災害の発生時に必要なサービスを継続するための業務継続計画の策定を確認した地域密着型サービス事業所の割合</w:t>
            </w:r>
          </w:p>
        </w:tc>
        <w:tc>
          <w:tcPr>
            <w:tcW w:type="dxa" w:w="2520"/>
          </w:tcPr>
          <w:p>
            <w:r/>
            <w:r>
              <w:rPr>
                <w:rFonts w:ascii="游ゴシック" w:hAnsi="游ゴシック" w:eastAsia="游ゴシック"/>
                <w:sz w:val="17"/>
              </w:rPr>
              <w:t>策定を確認した事業所÷区域内の地域密着型サービス事業所（17事業所）×100／広域連合の指定・運営指導の記録</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4章第3節の一覧及び各基本目標の達成目標と同一のものです。H07・H08・H12・H16の4項目は、当初の定義では算定できなかったため実施済みの調査及び給付実績による代理指標に振り替えています（第4章第3節）。改称の前後で系列は接続しません。</w:t>
      </w:r>
    </w:p>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新規認定者÷前年度末75歳以上未認定者×100／介護リームス（認定台帳）</w:t>
            </w:r>
          </w:p>
        </w:tc>
        <w:tc>
          <w:tcPr>
            <w:tcW w:type="dxa" w:w="1286"/>
          </w:tcPr>
          <w:p>
            <w:r/>
            <w:r>
              <w:rPr>
                <w:rFonts w:ascii="游ゴシック" w:hAnsi="游ゴシック" w:eastAsia="游ゴシック"/>
                <w:sz w:val="17"/>
              </w:rPr>
              <w:t>未算定（年齢階級別及び過年度分の抽出が可能となった時点で算定）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図表集の各図には、掲載区分（本文／資料編／参考）と備考が付されています。図表集の図表番号一覧のシートは、図の配置位置から作成しています。</w:t>
      </w:r>
    </w:p>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