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キックオフ会議資料（第5稿）</w:t>
      </w:r>
    </w:p>
    <w:p>
      <w:pPr>
        <w:spacing w:after="40" w:before="0" w:line="276" w:lineRule="auto"/>
      </w:pPr>
      <w:r>
        <w:rPr>
          <w:rFonts w:ascii="游ゴシック" w:hAnsi="游ゴシック" w:eastAsia="游ゴシック"/>
          <w:b w:val="0"/>
          <w:sz w:val="21"/>
        </w:rPr>
        <w:t>令和8年8月4日現在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本資料は、キックオフ資料を令和8年8月4日現在の作業状況に合わせて更新した第5稿です。計画素案第10稿、第1回委員会資料、代表KPIの定義（計画素案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4件あり、本日ご意向を確認します。</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健康とくらしの調査は個票4,729票を受領し分析完了。他3調査は第10期分102ファイルを受領し点検・集計済（点検事項31件、うち重大4件）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4件あります（別冊「実施済み3調査の受領点検と集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工程開始、キックオフ資料第5稿、計画素案第10稿、第1回委員会資料、代表KPIの定義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令和6～8年度実績の受領、3調査の点検事項の解消（重大4件のご意向の確認）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第1回委員会資料・キックオフ資料第5稿を作成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点検事項31件の取扱い。特に重大4件（職員数の二重計上、利用者票の回答の偏り、所在地区の集計の可否、老健・通所リハの介護職員数と見える化の乖離）</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7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13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実施済み3調査の点検事項の取扱い（重大4件）と事業所への照会</w:t>
            </w:r>
          </w:p>
        </w:tc>
        <w:tc>
          <w:tcPr>
            <w:tcW w:type="dxa" w:w="2041"/>
          </w:tcPr>
          <w:p>
            <w:pPr>
              <w:spacing w:after="20" w:before="20"/>
            </w:pPr>
            <w:r/>
            <w:r>
              <w:rPr>
                <w:rFonts w:ascii="游ゴシック" w:hAnsi="游ゴシック" w:eastAsia="游ゴシック"/>
                <w:b w:val="0"/>
                <w:sz w:val="18"/>
              </w:rPr>
              <w:t>調査データ</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31件を整理し、重大4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・キックオフ資料を第5稿から更新し、本日いただいたご意向を業務工程管理表及び必要事項の一覧に反映します。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