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135件（条件付き58件・送付46件・内部保管26件・対象外5件）と計画素案（1000段落151表36図）です。ビルドスクリプトは132本あり、うち43本が自らの計算を検算する自己点検を備えています（計758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自己点検を備えたスクリプト（43本・計758件）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build_ikenkokankai.py</w:t>
            </w:r>
          </w:p>
        </w:tc>
        <w:tc>
          <w:tcPr>
            <w:tcW w:type="dxa" w:w="907"/>
            <w:shd w:val="clear" w:color="auto" w:fill="F2F5FA"/>
            <w:vAlign w:val="center"/>
          </w:tcPr>
          <w:p>
            <w:pPr>
              <w:spacing w:after="0"/>
              <w:jc w:val="center"/>
            </w:pPr>
            <w:r>
              <w:rPr>
                <w:rFonts w:ascii="游ゴシック" w:hAnsi="游ゴシック" w:eastAsia="游ゴシック"/>
                <w:b w:val="0"/>
                <w:sz w:val="16"/>
              </w:rPr>
              <w:t>38件</w:t>
            </w:r>
          </w:p>
        </w:tc>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r>
      <w:tr>
        <w:trPr>
          <w:cantSplit/>
        </w:trPr>
        <w:tc>
          <w:tcPr>
            <w:tcW w:type="dxa" w:w="3572"/>
            <w:vAlign w:val="center"/>
          </w:tcPr>
          <w:p>
            <w:pPr>
              <w:spacing w:after="0"/>
            </w:pPr>
            <w:r>
              <w:rPr>
                <w:rFonts w:ascii="游ゴシック" w:hAnsi="游ゴシック" w:eastAsia="游ゴシック"/>
                <w:b w:val="0"/>
                <w:sz w:val="16"/>
              </w:rPr>
              <w:t>build_receipt_mieru_kekka.py</w:t>
            </w:r>
          </w:p>
        </w:tc>
        <w:tc>
          <w:tcPr>
            <w:tcW w:type="dxa" w:w="907"/>
            <w:vAlign w:val="center"/>
          </w:tcPr>
          <w:p>
            <w:pPr>
              <w:spacing w:after="0"/>
              <w:jc w:val="center"/>
            </w:pPr>
            <w:r>
              <w:rPr>
                <w:rFonts w:ascii="游ゴシック" w:hAnsi="游ゴシック" w:eastAsia="游ゴシック"/>
                <w:b w:val="0"/>
                <w:sz w:val="16"/>
              </w:rPr>
              <w:t>37件</w:t>
            </w:r>
          </w:p>
        </w:tc>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build_kofukin_torimatome.py</w:t>
            </w:r>
          </w:p>
        </w:tc>
        <w:tc>
          <w:tcPr>
            <w:tcW w:type="dxa" w:w="907"/>
            <w:shd w:val="clear" w:color="auto" w:fill="F2F5FA"/>
            <w:vAlign w:val="center"/>
          </w:tcPr>
          <w:p>
            <w:pPr>
              <w:spacing w:after="0"/>
              <w:jc w:val="center"/>
            </w:pPr>
            <w:r>
              <w:rPr>
                <w:rFonts w:ascii="游ゴシック" w:hAnsi="游ゴシック" w:eastAsia="游ゴシック"/>
                <w:b w:val="0"/>
                <w:sz w:val="16"/>
              </w:rPr>
              <w:t>34件</w:t>
            </w:r>
          </w:p>
        </w:tc>
        <w:tc>
          <w:tcPr>
            <w:tcW w:type="dxa" w:w="3572"/>
            <w:shd w:val="clear" w:color="auto" w:fill="F2F5FA"/>
            <w:vAlign w:val="center"/>
          </w:tcPr>
          <w:p>
            <w:pPr>
              <w:spacing w:after="0"/>
            </w:pPr>
            <w:r>
              <w:rPr>
                <w:rFonts w:ascii="游ゴシック" w:hAnsi="游ゴシック" w:eastAsia="游ゴシック"/>
                <w:b w:val="0"/>
                <w:sz w:val="16"/>
              </w:rPr>
              <w:t>build_mikomiryo_togo.py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build_soan_kisai_taihi.py</w:t>
            </w:r>
          </w:p>
        </w:tc>
        <w:tc>
          <w:tcPr>
            <w:tcW w:type="dxa" w:w="907"/>
            <w:vAlign w:val="center"/>
          </w:tcPr>
          <w:p>
            <w:pPr>
              <w:spacing w:after="0"/>
              <w:jc w:val="center"/>
            </w:pPr>
            <w:r>
              <w:rPr>
                <w:rFonts w:ascii="游ゴシック" w:hAnsi="游ゴシック" w:eastAsia="游ゴシック"/>
                <w:b w:val="0"/>
                <w:sz w:val="16"/>
              </w:rPr>
              <w:t>33件</w:t>
            </w:r>
          </w:p>
        </w:tc>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build_mieru_input_all.py</w:t>
            </w:r>
          </w:p>
        </w:tc>
        <w:tc>
          <w:tcPr>
            <w:tcW w:type="dxa" w:w="907"/>
            <w:shd w:val="clear" w:color="auto" w:fill="F2F5FA"/>
            <w:vAlign w:val="center"/>
          </w:tcPr>
          <w:p>
            <w:pPr>
              <w:spacing w:after="0"/>
              <w:jc w:val="center"/>
            </w:pPr>
            <w:r>
              <w:rPr>
                <w:rFonts w:ascii="游ゴシック" w:hAnsi="游ゴシック" w:eastAsia="游ゴシック"/>
                <w:b w:val="0"/>
                <w:sz w:val="16"/>
              </w:rPr>
              <w:t>26件</w:t>
            </w:r>
          </w:p>
        </w:tc>
        <w:tc>
          <w:tcPr>
            <w:tcW w:type="dxa" w:w="3572"/>
            <w:shd w:val="clear" w:color="auto" w:fill="F2F5FA"/>
            <w:vAlign w:val="center"/>
          </w:tcPr>
          <w:p>
            <w:pPr>
              <w:spacing w:after="0"/>
            </w:pPr>
            <w:r>
              <w:rPr>
                <w:rFonts w:ascii="游ゴシック" w:hAnsi="游ゴシック" w:eastAsia="游ゴシック"/>
                <w:b w:val="0"/>
                <w:sz w:val="16"/>
              </w:rPr>
              <w:t>build_soan_kadai.py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build_shokai_kaito.py</w:t>
            </w:r>
          </w:p>
        </w:tc>
        <w:tc>
          <w:tcPr>
            <w:tcW w:type="dxa" w:w="907"/>
            <w:vAlign w:val="center"/>
          </w:tcPr>
          <w:p>
            <w:pPr>
              <w:spacing w:after="0"/>
              <w:jc w:val="center"/>
            </w:pPr>
            <w:r>
              <w:rPr>
                <w:rFonts w:ascii="游ゴシック" w:hAnsi="游ゴシック" w:eastAsia="游ゴシック"/>
                <w:b w:val="0"/>
                <w:sz w:val="16"/>
              </w:rPr>
              <w:t>26件</w:t>
            </w:r>
          </w:p>
        </w:tc>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build_jizen_uchiawase.py</w:t>
            </w:r>
          </w:p>
        </w:tc>
        <w:tc>
          <w:tcPr>
            <w:tcW w:type="dxa" w:w="907"/>
            <w:shd w:val="clear" w:color="auto" w:fill="F2F5FA"/>
            <w:vAlign w:val="center"/>
          </w:tcPr>
          <w:p>
            <w:pPr>
              <w:spacing w:after="0"/>
              <w:jc w:val="center"/>
            </w:pPr>
            <w:r>
              <w:rPr>
                <w:rFonts w:ascii="游ゴシック" w:hAnsi="游ゴシック" w:eastAsia="游ゴシック"/>
                <w:b w:val="0"/>
                <w:sz w:val="16"/>
              </w:rPr>
              <w:t>25件</w:t>
            </w:r>
          </w:p>
        </w:tc>
        <w:tc>
          <w:tcPr>
            <w:tcW w:type="dxa" w:w="3572"/>
            <w:shd w:val="clear" w:color="auto" w:fill="F2F5FA"/>
            <w:vAlign w:val="center"/>
          </w:tcPr>
          <w:p>
            <w:pPr>
              <w:spacing w:after="0"/>
            </w:pPr>
            <w:r>
              <w:rPr>
                <w:rFonts w:ascii="游ゴシック" w:hAnsi="游ゴシック" w:eastAsia="游ゴシック"/>
                <w:b w:val="0"/>
                <w:sz w:val="16"/>
              </w:rPr>
              <w:t>build_kisetsu_hosei.py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build_mieru_mikomi_input.py</w:t>
            </w:r>
          </w:p>
        </w:tc>
        <w:tc>
          <w:tcPr>
            <w:tcW w:type="dxa" w:w="907"/>
            <w:vAlign w:val="center"/>
          </w:tcPr>
          <w:p>
            <w:pPr>
              <w:spacing w:after="0"/>
              <w:jc w:val="center"/>
            </w:pPr>
            <w:r>
              <w:rPr>
                <w:rFonts w:ascii="游ゴシック" w:hAnsi="游ゴシック" w:eastAsia="游ゴシック"/>
                <w:b w:val="0"/>
                <w:sz w:val="16"/>
              </w:rPr>
              <w:t>25件</w:t>
            </w:r>
          </w:p>
        </w:tc>
        <w:tc>
          <w:tcPr>
            <w:tcW w:type="dxa" w:w="3572"/>
            <w:vAlign w:val="center"/>
          </w:tcPr>
          <w:p>
            <w:pPr>
              <w:spacing w:after="0"/>
            </w:pPr>
            <w:r>
              <w:rPr>
                <w:rFonts w:ascii="游ゴシック" w:hAnsi="游ゴシック" w:eastAsia="游ゴシック"/>
                <w:b w:val="0"/>
                <w:sz w:val="16"/>
              </w:rPr>
              <w:t>build_shotoku_dankai.py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build_gaisan2.py</w:t>
            </w:r>
          </w:p>
        </w:tc>
        <w:tc>
          <w:tcPr>
            <w:tcW w:type="dxa" w:w="907"/>
            <w:shd w:val="clear" w:color="auto" w:fill="F2F5FA"/>
            <w:vAlign w:val="center"/>
          </w:tcPr>
          <w:p>
            <w:pPr>
              <w:spacing w:after="0"/>
              <w:jc w:val="center"/>
            </w:pPr>
            <w:r>
              <w:rPr>
                <w:rFonts w:ascii="游ゴシック" w:hAnsi="游ゴシック" w:eastAsia="游ゴシック"/>
                <w:b w:val="0"/>
                <w:sz w:val="16"/>
              </w:rPr>
              <w:t>23件</w:t>
            </w:r>
          </w:p>
        </w:tc>
        <w:tc>
          <w:tcPr>
            <w:tcW w:type="dxa" w:w="3572"/>
            <w:shd w:val="clear" w:color="auto" w:fill="F2F5FA"/>
            <w:vAlign w:val="center"/>
          </w:tcPr>
          <w:p>
            <w:pPr>
              <w:spacing w:after="0"/>
            </w:pPr>
            <w:r>
              <w:rPr>
                <w:rFonts w:ascii="游ゴシック" w:hAnsi="游ゴシック" w:eastAsia="游ゴシック"/>
                <w:b w:val="0"/>
                <w:sz w:val="16"/>
              </w:rPr>
              <w:t>build_survey_check.py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build_mikomiryo_santei.py</w:t>
            </w:r>
          </w:p>
        </w:tc>
        <w:tc>
          <w:tcPr>
            <w:tcW w:type="dxa" w:w="907"/>
            <w:vAlign w:val="center"/>
          </w:tcPr>
          <w:p>
            <w:pPr>
              <w:spacing w:after="0"/>
              <w:jc w:val="center"/>
            </w:pPr>
            <w:r>
              <w:rPr>
                <w:rFonts w:ascii="游ゴシック" w:hAnsi="游ゴシック" w:eastAsia="游ゴシック"/>
                <w:b w:val="0"/>
                <w:sz w:val="16"/>
              </w:rPr>
              <w:t>22件</w:t>
            </w:r>
          </w:p>
        </w:tc>
        <w:tc>
          <w:tcPr>
            <w:tcW w:type="dxa" w:w="3572"/>
            <w:vAlign w:val="center"/>
          </w:tcPr>
          <w:p>
            <w:pPr>
              <w:spacing w:after="0"/>
            </w:pPr>
            <w:r>
              <w:rPr>
                <w:rFonts w:ascii="游ゴシック" w:hAnsi="游ゴシック" w:eastAsia="游ゴシック"/>
                <w:b w:val="0"/>
                <w:sz w:val="16"/>
              </w:rPr>
              <w:t>build_survey_report.py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build_cohort_review.py</w:t>
            </w:r>
          </w:p>
        </w:tc>
        <w:tc>
          <w:tcPr>
            <w:tcW w:type="dxa" w:w="907"/>
            <w:shd w:val="clear" w:color="auto" w:fill="F2F5FA"/>
            <w:vAlign w:val="center"/>
          </w:tcPr>
          <w:p>
            <w:pPr>
              <w:spacing w:after="0"/>
              <w:jc w:val="center"/>
            </w:pPr>
            <w:r>
              <w:rPr>
                <w:rFonts w:ascii="游ゴシック" w:hAnsi="游ゴシック" w:eastAsia="游ゴシック"/>
                <w:b w:val="0"/>
                <w:sz w:val="16"/>
              </w:rPr>
              <w:t>21件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build_plan_public.py</w:t>
            </w:r>
          </w:p>
        </w:tc>
        <w:tc>
          <w:tcPr>
            <w:tcW w:type="dxa" w:w="907"/>
            <w:shd w:val="clear" w:color="auto" w:fill="F2F5FA"/>
            <w:vAlign w:val="center"/>
          </w:tcPr>
          <w:p>
            <w:pPr>
              <w:spacing w:after="0"/>
              <w:jc w:val="center"/>
            </w:pPr>
            <w:r>
              <w:rPr>
                <w:rFonts w:ascii="游ゴシック" w:hAnsi="游ゴシック" w:eastAsia="游ゴシック"/>
                <w:b w:val="0"/>
                <w:sz w:val="16"/>
              </w:rPr>
              <w:t>19件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build_chiiki_kadai_10.py</w:t>
            </w:r>
          </w:p>
        </w:tc>
        <w:tc>
          <w:tcPr>
            <w:tcW w:type="dxa" w:w="907"/>
            <w:vAlign w:val="center"/>
          </w:tcPr>
          <w:p>
            <w:pPr>
              <w:spacing w:after="0"/>
              <w:jc w:val="center"/>
            </w:pPr>
            <w:r>
              <w:rPr>
                <w:rFonts w:ascii="游ゴシック" w:hAnsi="游ゴシック" w:eastAsia="游ゴシック"/>
                <w:b w:val="0"/>
                <w:sz w:val="16"/>
              </w:rPr>
              <w:t>18件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build_receipt_kyufu_sogo.py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build_survey_report_doc.py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build_receipt_riyojokyo.py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build_taikeikakuhi.py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build_chiiki_bunseki_comment.py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build_check_irai.py</w:t>
            </w:r>
          </w:p>
        </w:tc>
        <w:tc>
          <w:tcPr>
            <w:tcW w:type="dxa" w:w="907"/>
            <w:shd w:val="clear" w:color="auto" w:fill="F2F5FA"/>
            <w:vAlign w:val="center"/>
          </w:tcPr>
          <w:p>
            <w:pPr>
              <w:spacing w:after="0"/>
              <w:jc w:val="center"/>
            </w:pPr>
            <w:r>
              <w:rPr>
                <w:rFonts w:ascii="游ゴシック" w:hAnsi="游ゴシック" w:eastAsia="游ゴシック"/>
                <w:b w:val="0"/>
                <w:sz w:val="16"/>
              </w:rPr>
              <w:t>9件</w:t>
            </w:r>
          </w:p>
        </w:tc>
      </w:tr>
      <w:tr>
        <w:trPr>
          <w:cantSplit/>
        </w:trPr>
        <w:tc>
          <w:tcPr>
            <w:tcW w:type="dxa" w:w="3572"/>
            <w:vAlign w:val="center"/>
          </w:tcPr>
          <w:p>
            <w:pPr>
              <w:spacing w:after="0"/>
            </w:pPr>
            <w:r>
              <w:rPr>
                <w:rFonts w:ascii="游ゴシック" w:hAnsi="游ゴシック" w:eastAsia="游ゴシック"/>
                <w:b w:val="0"/>
                <w:sz w:val="16"/>
              </w:rPr>
              <w:t>build_kofukin_shihyo.py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build_mieru_manual_review.py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build_nikkan.py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build_soan_kaki_review.py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build_zuhyo_daicho.py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sz w:val="16"/>
              </w:rPr>
            </w:r>
          </w:p>
        </w:tc>
        <w:tc>
          <w:tcPr>
            <w:tcW w:type="dxa" w:w="907"/>
            <w:shd w:val="clear" w:color="auto" w:fill="F2F5FA"/>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1000段落151表36図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発注者・委員会・住民の目に触れるもの。未確定箇所が179箇所（要協議121・要確認57・要内訳1）残っている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保険料の基礎になる。算定上の月額6,438円・保険料基準額6,400円はここから出ている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確認事項177件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'6,438\|6438\|9,035,114,142'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現在179箇所（要協議121・要確認57・要内訳1）です。うち第6章第4節（施設の見込み）に58箇所（43％）が集中しており、日常生活圏域と必要利用定員総数（確認事項No.88）が決まれば解消します。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自己点検を備えた43本を順に実行し、終了コードが0であることを確かめます。1件でも合わなければ終了コード1で終わり、不適合の内容が表示されます。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再実行できない3本（第2節3）は除いています。自己点検を持たないスクリプトも実行されますが、書き出しに失敗すればやはり0以外で終わります。自己点検を備えた43本は第3節1の表のとおりです。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