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pPr>
        <w:pStyle w:val="3"/>
      </w:pPr>
      <w:r>
        <w:rPr>
          <w:rFonts w:ascii="BIZ UDPゴシック" w:hAnsi="BIZ UDPゴシック" w:eastAsia="BIZ UDPゴシック"/>
          <w:b w:val="0"/>
          <w:sz w:val="21"/>
        </w:rPr>
        <w:t>■　福島県の実績と本村の目標設定</w:t>
      </w:r>
    </w:p>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r>
        <w:rPr>
          <w:rFonts w:ascii="BIZ UDPゴシック" w:hAnsi="BIZ UDPゴシック" w:eastAsia="BIZ UDPゴシック"/>
          <w:b w:val="0"/>
          <w:sz w:val="21"/>
        </w:rPr>
        <w:t>10　活動指標</w:t>
      </w:r>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r>
        <w:rPr>
          <w:rFonts w:ascii="BIZ UDPゴシック" w:hAnsi="BIZ UDPゴシック" w:eastAsia="BIZ UDPゴシック"/>
          <w:b w:val="0"/>
          <w:sz w:val="21"/>
        </w:rPr>
        <w:t>■　サービスの見込量に相当する活動指標</w:t>
      </w:r>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r>
        <w:rPr>
          <w:rFonts w:ascii="BIZ UDPゴシック" w:hAnsi="BIZ UDPゴシック" w:eastAsia="BIZ UDPゴシック"/>
          <w:b w:val="0"/>
          <w:sz w:val="21"/>
        </w:rPr>
        <w:t>■　その他の活動指標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r>
        <w:rPr>
          <w:rFonts w:ascii="BIZ UDPゴシック" w:hAnsi="BIZ UDPゴシック" w:eastAsia="BIZ UDPゴシック"/>
          <w:b w:val="0"/>
          <w:sz w:val="21"/>
        </w:rPr>
        <w:t>■　本村では設定しない活動指標</w:t>
      </w:r>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11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12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