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認知症施策推進計画と成年後見制度利用促進基本計画は努力義務ですが、本村は第9期において高齢者福祉計画・介護保険事業計画と一体で策定しており、第10期もこれを踏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(9)）。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(9)）。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目標Ⅱ）は、本村が全国平均を下回る唯一の目標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(9)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(9)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2026-09-15T14:20:21.044Z</dcterms:created>
  <dcterms:modified xsi:type="dcterms:W3CDTF">2026-09-15T14:20:21.044Z</dcterms:modified>
</cp:coreProperties>
</file>

<file path=docProps/custom.xml><?xml version="1.0" encoding="utf-8"?>
<Properties xmlns="http://schemas.openxmlformats.org/officeDocument/2006/custom-properties" xmlns:vt="http://schemas.openxmlformats.org/officeDocument/2006/docPropsVTypes"/>
</file>