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Ver.1.16</w:t>
      </w:r>
    </w:p>
    <w:p>
      <w:pPr>
        <w:spacing w:after="80" w:before="80"/>
        <w:jc w:val="center"/>
      </w:pPr>
      <w:r>
        <w:rPr>
          <w:rFonts w:ascii="游ゴシック" w:cs="游ゴシック" w:eastAsia="游ゴシック" w:hAnsi="游ゴシック"/>
          <w:b w:val="false"/>
          <w:bCs w:val="false"/>
          <w:i/>
          <w:iCs/>
          <w:sz w:val="18"/>
          <w:szCs w:val="18"/>
        </w:rPr>
        <w:t xml:space="preserve">（サービス見込量・保険料 確定版）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w:t>
            </w:r>
          </w:p>
        </w:tc>
      </w:tr>
    </w:tbl>
    <w:p>
      <w:pPr>
        <w:spacing w:after="80" w:before="80" w:line="280"/>
        <w:ind w:left="288"/>
      </w:pPr>
      <w:r>
        <w:rPr>
          <w:rFonts w:ascii="游ゴシック" w:cs="游ゴシック" w:eastAsia="游ゴシック" w:hAnsi="游ゴシック"/>
          <w:i/>
          <w:iCs/>
          <w:sz w:val="19"/>
          <w:szCs w:val="19"/>
        </w:rPr>
        <w:t xml:space="preserve">⚠ 頁番号は、Word上での最終レイアウト確定後に記入します。本素案Ver.1.15では、章立て（第1〜10章）と節の構成のみを示しています。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1.16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介護保険事業状況報告（年報・令和7年度）を基礎として算定したサービス種類別の見込量・給付費・保険料を第9章に掲載し、第2章・第3章の現状分析を令和7年度実績に更新しました。保険料は、所得段階別第1号被保険者数（13段階）を反映した算定値です。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共生社会の実現を推進するための認知症基本法第14条（市町村認知症施策推進計画）</w:t>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一般高齢者ニーズ調査（対象：65歳以上の高齢者1,000名）</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要支援・要介護認定者調査（対象：認定者300名）</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出典：令和6〜8年度：介護保険事業状況報告／令和9〜11年度：地域包括ケア「見える化」システムの推計値</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対象・配布</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有効回答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生きがいがある55.3％（n=519）。両者には強い関連（p＜0.001）</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n=76。介護者の高齢化が進んでいる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在宅の要介護者では、施設入所の申込みを最も強く分けているのは要介護度ではなく家族介護者の有無である。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R7=550名累計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R7=73名累計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整備（令和8年9月1日提供の実績データでは令和6年度以降「整備」とされており、実態を確認中）、（2）認知症本人ミーティングの新規実施、（3）本人・家族の意見聴取（地域包括支援センター・国保川崎病院経由）、（4）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4-2　基本目標</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第10期計画の基本目標</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考え方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介護予防を明示して継承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center"/>
            </w:pPr>
            <w:r>
              <w:rPr>
                <w:rFonts w:ascii="游ゴシック" w:cs="游ゴシック" w:eastAsia="游ゴシック" w:hAnsi="游ゴシック"/>
                <w:i w:val="false"/>
                <w:iCs w:val="false"/>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left"/>
            </w:pPr>
            <w:r>
              <w:rPr>
                <w:rFonts w:ascii="游ゴシック" w:cs="游ゴシック" w:eastAsia="游ゴシック" w:hAnsi="游ゴシック"/>
                <w:i w:val="false"/>
                <w:iCs w:val="false"/>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見守り・移動支援・住まいを含めて継承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在宅生活の継続という観点で再構成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i w:val="false"/>
                <w:iCs w:val="false"/>
                <w:sz w:val="18"/>
                <w:szCs w:val="18"/>
              </w:rPr>
              <w:t xml:space="preserve">目的別に配置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r>
          </w:p>
          <w:p>
            <w:pPr>
              <w:spacing w:after="40" w:before="40" w:line="260"/>
              <w:jc w:val="center"/>
            </w:pPr>
            <w:r>
              <w:rPr>
                <w:rFonts w:ascii="游ゴシック" w:cs="游ゴシック" w:eastAsia="游ゴシック" w:hAnsi="游ゴシック"/>
                <w:i w:val="false"/>
                <w:iCs w:val="false"/>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r>
          </w:p>
          <w:p>
            <w:pPr>
              <w:spacing w:after="40" w:before="40" w:line="260"/>
              <w:jc w:val="left"/>
            </w:pPr>
            <w:r>
              <w:rPr>
                <w:rFonts w:ascii="游ゴシック" w:cs="游ゴシック" w:eastAsia="游ゴシック" w:hAnsi="游ゴシック"/>
                <w:i w:val="false"/>
                <w:iCs w:val="false"/>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供給体制・人材確保を加えて再構成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r>
          </w:p>
          <w:p>
            <w:pPr>
              <w:spacing w:after="40" w:before="40" w:line="260"/>
              <w:jc w:val="center"/>
            </w:pPr>
            <w:r>
              <w:rPr>
                <w:rFonts w:ascii="游ゴシック" w:cs="游ゴシック" w:eastAsia="游ゴシック" w:hAnsi="游ゴシック"/>
                <w:i w:val="false"/>
                <w:iCs w:val="false"/>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地域包括ケアの深化を独立させた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（基本方針3に含まれていた</w:t>
            </w:r>
          </w:p>
          <w:p>
            <w:pPr>
              <w:spacing w:after="40" w:before="40" w:line="260"/>
              <w:jc w:val="center"/>
            </w:pPr>
            <w:r>
              <w:rPr>
                <w:rFonts w:ascii="游ゴシック" w:cs="游ゴシック" w:eastAsia="游ゴシック" w:hAnsi="游ゴシック"/>
                <w:i w:val="false"/>
                <w:iCs w:val="false"/>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基本目標</w:t>
            </w:r>
          </w:p>
        </w:tc>
        <w:tc>
          <w:tcPr>
            <w:tcW w:type="pct"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健康寿命の延伸・フレイル予防・通いの場の充実・口腔と栄養の支援を推進し、高齢者がいつまでも元気に生活できる地域づくりを進めます。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見守り・地域支え合い・移動支援・住まいの確保等、独居高齢者・高齢者世帯・老老介護世帯が安心して暮らせる仕組みを整えます。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在宅医療・介護連携、家族介護者支援、緊急時対応、住宅改修等により、住み慣れた自宅・地域での生活継続を支援します。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介護サービスの質の確保、町外施設利用も含めた供給体制の整備、介護人材の確保・育成を推進します。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地域包括支援センターを中心に、医療・介護・予防・住まい・生活支援を一体的に提供する地域包括ケアシステムをさらに深化させます。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対応する基本目標・関連施策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基本目標6を新設し、独立章（第6章）として位置付け。本人意見反映・チームオレンジ整備・認知症カフェ充実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基本目標2。タクシー助成終了後の社協・NPO移送＋デマンドバスの周知強化、施設偏在への対応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基本目標3・5。8050問題・老老介護への対応、介護者レスパイト、包括センター体制強化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基本目標4。みやぎ県南中核病院等との広域医療連携、住所地特例を含めた施設供給見込量</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i w:val="false"/>
                <w:iCs w:val="false"/>
                <w:sz w:val="24"/>
                <w:szCs w:val="24"/>
              </w:rPr>
              <w:t xml:space="preserve">↓</w:t>
            </w:r>
          </w:p>
        </w:tc>
      </w:tr>
      <w:tr>
        <w:tc>
          <w:tcPr/>
          <w:p>
            <w:pPr>
              <w:spacing w:after="80" w:before="80"/>
              <w:jc w:val="center"/>
            </w:pPr>
            <w:r>
              <w:rPr>
                <w:rFonts w:ascii="游ゴシック" w:cs="游ゴシック" w:eastAsia="游ゴシック" w:hAnsi="游ゴシック"/>
                <w:i w:val="false"/>
                <w:iCs w:val="false"/>
                <w:sz w:val="22"/>
                <w:szCs w:val="22"/>
              </w:rPr>
              <w:t xml:space="preserve">【6つの基本目標】</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保険者としての管理・評価は第8章（地域マネジメントの推進）で、それぞれ独立章として詳述し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で、家族・親族からの介護がない層が45.8％（n=142）あり、この層の56.9％が既に施設入所を申し込んでいます（介護が「ある」層は13.5％）。さらに、家族介護もサービス利用もない世帯が50件・36.2％（n=138）あり、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施設入所の申込みを最も強く分けているのは、要介護度ではなく家族介護者の有無である。家族介護者への支援は、施設サービスの見込量に直接影響する施策である。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6-2　認知症施策の体系（7基本的施策）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認知症サポーター養成講座の継続（累計550名）。企業・学校サポーター養成の拡大。世界アルツハイマー月間（9月）に合わせた啓発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公共施設・交通・買い物環境におけるバリアフリー化、認知症の人にやさしい地域づくり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認知症カフェ「喫茶みかん」の運営継続。認知症本人ミーティング・ピアサポート活動の場の確保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認知症初期集中支援チームの強化、認知症地域支援推進員の配置、国保川崎病院との連携強化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認知症本人・家族の意見聴取（基本法第3条対応）、認知症施策への当事者参画</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累計550名のサポーターを基盤に、企業・学校サポーターを増やし、活動の質を向上。キャラバンメイト（累計73名）の活動継続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認知症サポーターのうち、地域でステップアップしたメンバーによるチームオレンジを整備。本人・家族支援を実践</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認知症カフェ「喫茶みかん」の運営継続。認知症本人ミーティングの新設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認知症初期集中支援チームの強化、認知症地域支援推進員の活動、もの忘れ相談の継続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17,722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介護予防短期入所療養介護</w:t>
              <w:br/>
              <w:t xml:space="preserve">（介護老人保健施設）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介護予防認知症対応型共同生活介護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4,397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4,538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28,403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720.3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4,630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63,600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99,320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16,172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短期入所療養介護</w:t>
              <w:br/>
              <w:t xml:space="preserve">（介護老人保健施設）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8,780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20,569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128.9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住宅改修費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1,029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6,232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居宅介護支援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42,525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42,197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42,534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196.7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199.6</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81,659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w:t>
              <w:br/>
              <w:t xml:space="preserve">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98,336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237,772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265,006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67.7</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を基礎と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出典：令和7年度実績：介護保険事業状況報告（年報・令和7年度）及び町提供実績データ／令和9〜11年度：本計画の算定値</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