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小野町高齢者保健福祉計画・第10期介護保険事業計画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介護給付費準備基金の取崩し3案の試算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令和8年10月20日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ビズアップ公共コンサルティング株式会社</w:t>
      </w:r>
    </w:p>
    <w:p>
      <w:r>
        <w:br w:type="page"/>
      </w:r>
    </w:p>
    <w:p>
      <w:pPr>
        <w:spacing w:after="28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30"/>
        </w:rPr>
        <w:t>目　次</w:t>
      </w:r>
    </w:p>
    <w:p>
      <w:pPr>
        <w:spacing w:after="200"/>
        <w:jc w:val="center"/>
      </w:pPr>
      <w:r>
        <w:rPr>
          <w:rFonts w:ascii="游ゴシック" w:hAnsi="游ゴシック" w:eastAsia="游ゴシック"/>
          <w:b w:val="0"/>
          <w:i w:val="0"/>
          <w:sz w:val="18"/>
        </w:rPr>
        <w:t>各行をクリックすると本文へ移動します。ページ番号はWordで開いた時点で更新されます</w:t>
      </w:r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1">
        <w:r>
          <w:rPr>
            <w:rFonts w:ascii="游ゴシック" w:hAnsi="游ゴシック" w:eastAsia="游ゴシック"/>
            <w:b/>
            <w:sz w:val="22"/>
          </w:rPr>
          <w:t xml:space="preserve">1　結論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_Toc_001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2">
        <w:r>
          <w:rPr>
            <w:rFonts w:ascii="游ゴシック" w:hAnsi="游ゴシック" w:eastAsia="游ゴシック"/>
            <w:b/>
            <w:sz w:val="22"/>
          </w:rPr>
          <w:t xml:space="preserve">2　基金残高の推計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_Toc_002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3">
        <w:r>
          <w:rPr>
            <w:rFonts w:ascii="游ゴシック" w:hAnsi="游ゴシック" w:eastAsia="游ゴシック"/>
            <w:b/>
            <w:sz w:val="22"/>
          </w:rPr>
          <w:t xml:space="preserve">3　繰越金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_Toc_003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4">
        <w:r>
          <w:rPr>
            <w:rFonts w:ascii="游ゴシック" w:hAnsi="游ゴシック" w:eastAsia="游ゴシック"/>
            <w:b/>
            <w:sz w:val="22"/>
          </w:rPr>
          <w:t xml:space="preserve">4　町に確かめること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_Toc_004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sectPr>
          <w:headerReference w:type="default" r:id="rId9"/>
          <w:footerReference w:type="default" r:id="rId10"/>
          <w:pgSz w:w="11906" w:h="16838"/>
          <w:pgMar w:top="1134" w:right="1077" w:bottom="1134" w:left="1077" w:header="709" w:footer="709" w:gutter="0"/>
          <w:cols w:space="720"/>
          <w:docGrid w:linePitch="360"/>
        </w:sectPr>
      </w:pPr>
    </w:p>
    <w:p>
      <w:pPr>
        <w:pStyle w:val="Heading1"/>
        <w:keepNext/>
        <w:spacing w:before="240" w:after="100"/>
      </w:pPr>
      <w:bookmarkStart w:id="101" w:name="_Toc_001"/>
      <w:r>
        <w:rPr>
          <w:rFonts w:ascii="游ゴシック" w:hAnsi="游ゴシック" w:eastAsia="游ゴシック"/>
          <w:b/>
          <w:i w:val="0"/>
          <w:color w:val="2E74B5"/>
          <w:sz w:val="30"/>
        </w:rPr>
        <w:t>1　結論</w:t>
      </w:r>
      <w:bookmarkEnd w:id="101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基金残高は、決算の積立の記録から令和8年度末に180,000〜210,000千円と推計されます。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素案が用いてきた「保有額12,000千円」（年報 様式4）は、決算の積立の記録と合いません。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取崩しの3案で、保険料基準額（月額、100円未満切上げ）は次のとおりです。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【表1】取崩しの3案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608"/>
        <w:gridCol w:w="1644"/>
        <w:gridCol w:w="1531"/>
        <w:gridCol w:w="1531"/>
        <w:gridCol w:w="2438"/>
      </w:tblGrid>
      <w:tr>
        <w:tc>
          <w:tcPr>
            <w:tcW w:type="dxa" w:w="260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案</w:t>
            </w:r>
          </w:p>
        </w:tc>
        <w:tc>
          <w:tcPr>
            <w:tcW w:type="dxa" w:w="164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取崩額（3年計）</w:t>
            </w:r>
          </w:p>
        </w:tc>
        <w:tc>
          <w:tcPr>
            <w:tcW w:type="dxa" w:w="153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算定値（月額）</w:t>
            </w:r>
          </w:p>
        </w:tc>
        <w:tc>
          <w:tcPr>
            <w:tcW w:type="dxa" w:w="153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基準額（月額）</w:t>
            </w:r>
          </w:p>
        </w:tc>
        <w:tc>
          <w:tcPr>
            <w:tcW w:type="dxa" w:w="243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第10期末の残高（推計の下限から）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A　取り崩さない</w:t>
            </w:r>
          </w:p>
        </w:tc>
        <w:tc>
          <w:tcPr>
            <w:tcW w:type="dxa" w:w="164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0千円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6,053円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6,100円</w:t>
            </w:r>
          </w:p>
        </w:tc>
        <w:tc>
          <w:tcPr>
            <w:tcW w:type="dxa" w:w="243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180,000千円</w:t>
            </w:r>
          </w:p>
        </w:tc>
      </w:tr>
      <w:tr>
        <w:tc>
          <w:tcPr>
            <w:tcW w:type="dxa" w:w="260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B　推計残高の下限の半分</w:t>
            </w:r>
          </w:p>
        </w:tc>
        <w:tc>
          <w:tcPr>
            <w:tcW w:type="dxa" w:w="1644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90,000千円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5,316円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5,400円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90,000千円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　推計残高の下限の全額</w:t>
            </w:r>
          </w:p>
        </w:tc>
        <w:tc>
          <w:tcPr>
            <w:tcW w:type="dxa" w:w="164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180,000千円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4,580円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4,600円</w:t>
            </w:r>
          </w:p>
        </w:tc>
        <w:tc>
          <w:tcPr>
            <w:tcW w:type="dxa" w:w="243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0千円</w:t>
            </w:r>
          </w:p>
        </w:tc>
      </w:tr>
    </w:tbl>
    <w:p>
      <w:pPr>
        <w:spacing w:after="40"/>
      </w:pP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算定は素案（第14版）の標準ケースと同じ式による。参考：第9期と同じ35,000千円を取り崩すと、算定値5,767円・基準額5,800円。第9期の基準額は6,600円。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取り崩した分は保険料を下げますが、第10期の給付が見込みを上回ったときの備えが減ります。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第10期中に財政安定化基金から借り入れると、第11期の保険料で返すことになります。</w:t>
      </w:r>
      <w:r>
        <w:rPr>
          <w:rFonts w:ascii="游ゴシック" w:hAnsi="游ゴシック" w:eastAsia="游ゴシック"/>
          <w:b/>
          <w:i w:val="0"/>
          <w:sz w:val="21"/>
        </w:rPr>
        <w:t>案Bを中心に、町の財政部局と協議会で決めていただくことを提案します。</w:t>
      </w:r>
    </w:p>
    <w:p>
      <w:pPr>
        <w:pStyle w:val="Heading1"/>
        <w:keepNext/>
        <w:spacing w:before="240" w:after="100"/>
      </w:pPr>
      <w:bookmarkStart w:id="102" w:name="_Toc_002"/>
      <w:r>
        <w:rPr>
          <w:rFonts w:ascii="游ゴシック" w:hAnsi="游ゴシック" w:eastAsia="游ゴシック"/>
          <w:b/>
          <w:i w:val="0"/>
          <w:color w:val="2E74B5"/>
          <w:sz w:val="30"/>
        </w:rPr>
        <w:t>2　基金残高の推計</w:t>
      </w:r>
      <w:bookmarkEnd w:id="102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3つの資料で基金の状況が食い違っています。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【表2】基金の積立・取崩と保有額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928"/>
        <w:gridCol w:w="2494"/>
        <w:gridCol w:w="2494"/>
        <w:gridCol w:w="2835"/>
      </w:tblGrid>
      <w:tr>
        <w:tc>
          <w:tcPr>
            <w:tcW w:type="dxa" w:w="19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年度</w:t>
            </w:r>
          </w:p>
        </w:tc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決算：積立（千円）</w:t>
            </w:r>
          </w:p>
        </w:tc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決算：取崩（千円）</w:t>
            </w:r>
          </w:p>
        </w:tc>
        <w:tc>
          <w:tcPr>
            <w:tcW w:type="dxa" w:w="2835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年報 様式4：保有額（千円）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令和2年度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30,000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令和3年度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30,000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令和4年度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30,000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120,000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令和5年度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30,000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12,000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令和6年度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12,000</w:t>
            </w:r>
          </w:p>
        </w:tc>
      </w:tr>
      <w:tr>
        <w:tc>
          <w:tcPr>
            <w:tcW w:type="dxa" w:w="192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令和7年度</w:t>
            </w:r>
          </w:p>
        </w:tc>
        <w:tc>
          <w:tcPr>
            <w:tcW w:type="dxa" w:w="2494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30,000</w:t>
            </w:r>
          </w:p>
        </w:tc>
        <w:tc>
          <w:tcPr>
            <w:tcW w:type="dxa" w:w="2494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令和8年度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30,000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</w:tbl>
    <w:p>
      <w:pPr>
        <w:spacing w:after="40"/>
      </w:pP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決算状況（歳入・歳出）の支出済額・収入済額による。令和8年度は年度途中の値。年報の令和7年度（2025年度）のファイルは書式の破損で読めない。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決算では、令和2年度から毎年30,000千円を積み立て（令和6年度のみ0円）、取崩しは一度もありません。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一方、年報の保有額は令和3年度末0千円→令和4年度末120,000千円→令和5・6年度末12,000千円と動いており、</w:t>
      </w:r>
      <w:r>
        <w:rPr>
          <w:rFonts w:ascii="游ゴシック" w:hAnsi="游ゴシック" w:eastAsia="游ゴシック"/>
          <w:b/>
          <w:i w:val="0"/>
          <w:sz w:val="21"/>
        </w:rPr>
        <w:t>取崩しがないのに10分の1に減っています。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年報の入力の誤り（桁の取り違え）とみられます。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【表3】令和8年度末の基金残高の推計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907"/>
        <w:gridCol w:w="5896"/>
        <w:gridCol w:w="2948"/>
      </w:tblGrid>
      <w:tr>
        <w:tc>
          <w:tcPr>
            <w:tcW w:type="dxa" w:w="90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読み方</w:t>
            </w:r>
          </w:p>
        </w:tc>
        <w:tc>
          <w:tcPr>
            <w:tcW w:type="dxa" w:w="5896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前提</w:t>
            </w:r>
          </w:p>
        </w:tc>
        <w:tc>
          <w:tcPr>
            <w:tcW w:type="dxa" w:w="294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令和8年度末の推計残高</w:t>
            </w:r>
          </w:p>
        </w:tc>
      </w:tr>
      <w:tr>
        <w:tc>
          <w:tcPr>
            <w:tcW w:type="dxa" w:w="907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5896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年報の令和4年度末120,000千円を正とし、以後の決算の積立を足す</w:t>
            </w:r>
          </w:p>
        </w:tc>
        <w:tc>
          <w:tcPr>
            <w:tcW w:type="dxa" w:w="294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210,000千円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</w:t>
            </w:r>
          </w:p>
        </w:tc>
        <w:tc>
          <w:tcPr>
            <w:tcW w:type="dxa" w:w="589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年報の令和5・6年度末12,000千円は120,000千円の桁落ちとし、以後の積立を足す</w:t>
            </w:r>
          </w:p>
        </w:tc>
        <w:tc>
          <w:tcPr>
            <w:tcW w:type="dxa" w:w="294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180,000千円</w:t>
            </w:r>
          </w:p>
        </w:tc>
      </w:tr>
    </w:tbl>
    <w:p>
      <w:pPr>
        <w:spacing w:after="40"/>
      </w:pP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3案は、低い方の推計（180,000千円）を基に置きました。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利息は含めていません。</w:t>
      </w:r>
      <w:r>
        <w:rPr>
          <w:rFonts w:ascii="游ゴシック" w:hAnsi="游ゴシック" w:eastAsia="游ゴシック"/>
          <w:b/>
          <w:i w:val="0"/>
          <w:sz w:val="21"/>
        </w:rPr>
        <w:t>町の基金台帳の残高（令和7年度末）を確かめれば、推計は不要になります。</w:t>
      </w:r>
    </w:p>
    <w:p>
      <w:pPr>
        <w:pStyle w:val="Heading1"/>
        <w:keepNext/>
        <w:spacing w:before="240" w:after="100"/>
      </w:pPr>
      <w:bookmarkStart w:id="103" w:name="_Toc_003"/>
      <w:r>
        <w:rPr>
          <w:rFonts w:ascii="游ゴシック" w:hAnsi="游ゴシック" w:eastAsia="游ゴシック"/>
          <w:b/>
          <w:i w:val="0"/>
          <w:color w:val="2E74B5"/>
          <w:sz w:val="30"/>
        </w:rPr>
        <w:t>3　繰越金</w:t>
      </w:r>
      <w:bookmarkEnd w:id="103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介護保険特別会計の繰越金は、令和8年度に224,304千円が繰り越されています。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繰越金のうち国・県への返還金等を除いた分は、基金への積立か第10期の財源に充てられます。</w:t>
      </w:r>
      <w:r>
        <w:rPr>
          <w:rFonts w:ascii="游ゴシック" w:hAnsi="游ゴシック" w:eastAsia="游ゴシック"/>
          <w:b/>
          <w:i w:val="0"/>
          <w:sz w:val="21"/>
        </w:rPr>
        <w:t>基金の取崩しとあわせて、繰越金の扱いも町に確かめます。</w:t>
      </w:r>
    </w:p>
    <w:p>
      <w:pPr>
        <w:pStyle w:val="Heading1"/>
        <w:keepNext/>
        <w:spacing w:before="240" w:after="100"/>
      </w:pPr>
      <w:bookmarkStart w:id="104" w:name="_Toc_004"/>
      <w:r>
        <w:rPr>
          <w:rFonts w:ascii="游ゴシック" w:hAnsi="游ゴシック" w:eastAsia="游ゴシック"/>
          <w:b/>
          <w:i w:val="0"/>
          <w:color w:val="2E74B5"/>
          <w:sz w:val="30"/>
        </w:rPr>
        <w:t>4　町に確かめること</w:t>
      </w:r>
      <w:bookmarkEnd w:id="104"/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【表4】町に確かめること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454"/>
        <w:gridCol w:w="9298"/>
      </w:tblGrid>
      <w:tr>
        <w:tc>
          <w:tcPr>
            <w:tcW w:type="dxa" w:w="45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№</w:t>
            </w:r>
          </w:p>
        </w:tc>
        <w:tc>
          <w:tcPr>
            <w:tcW w:type="dxa" w:w="929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事項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929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介護給付費準備基金の台帳上の残高（令和7年度末・令和8年度末見込み）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</w:t>
            </w:r>
          </w:p>
        </w:tc>
        <w:tc>
          <w:tcPr>
            <w:tcW w:type="dxa" w:w="929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年報 様式4の保有額（令和4〜6年度）の入力の誤りの有無</w:t>
            </w:r>
          </w:p>
        </w:tc>
      </w:tr>
      <w:tr>
        <w:tc>
          <w:tcPr>
            <w:tcW w:type="dxa" w:w="454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</w:t>
            </w:r>
          </w:p>
        </w:tc>
        <w:tc>
          <w:tcPr>
            <w:tcW w:type="dxa" w:w="929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繰越金のうち、基金への積立・第10期の財源に充てる予定の額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</w:t>
            </w:r>
          </w:p>
        </w:tc>
        <w:tc>
          <w:tcPr>
            <w:tcW w:type="dxa" w:w="929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第10期の取崩しの方針（取崩しの上限、残しておく額の考え方）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11"/>
      <w:footerReference w:type="default" r:id="rId12"/>
      <w:pgSz w:w="11906" w:h="16838"/>
      <w:pgMar w:top="1134" w:right="1077" w:bottom="1134" w:left="1077" w:header="709" w:footer="709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  <w:t xml:space="preserve">- </w:t>
    </w:r>
    <w:r>
      <w:rPr>
        <w:rFonts w:ascii="游ゴシック" w:hAnsi="游ゴシック" w:eastAsia="游ゴシック"/>
        <w:b w:val="0"/>
        <w:i w:val="0"/>
        <w:sz w:val="20"/>
      </w:rPr>
      <w:fldChar w:fldCharType="begin"/>
    </w:r>
    <w:r>
      <w:rPr>
        <w:rFonts w:ascii="游ゴシック" w:hAnsi="游ゴシック" w:eastAsia="游ゴシック"/>
        <w:b w:val="0"/>
        <w:i w:val="0"/>
        <w:sz w:val="20"/>
      </w:rPr>
      <w:instrText xml:space="preserve"> PAGE </w:instrText>
    </w:r>
    <w:r>
      <w:rPr>
        <w:rFonts w:ascii="游ゴシック" w:hAnsi="游ゴシック" w:eastAsia="游ゴシック"/>
        <w:b w:val="0"/>
        <w:i w:val="0"/>
        <w:sz w:val="20"/>
      </w:rPr>
      <w:fldChar w:fldCharType="end"/>
    </w:r>
    <w:r>
      <w:rPr>
        <w:rFonts w:ascii="游ゴシック" w:hAnsi="游ゴシック" w:eastAsia="游ゴシック"/>
        <w:b w:val="0"/>
        <w:i w:val="0"/>
        <w:sz w:val="20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</w:r>
    <w:r>
      <w:rPr>
        <w:rFonts w:ascii="游ゴシック" w:hAnsi="游ゴシック" w:eastAsia="游ゴシック"/>
        <w:b w:val="0"/>
        <w:i w:val="0"/>
        <w:sz w:val="18"/>
      </w:rPr>
      <w:t>小野町　介護給付費準備基金の取崩し3案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  <w:t>小野町　介護給付費準備基金の取崩し3案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60"/>
    </w:pPr>
    <w:rPr>
      <w:rFonts w:ascii="游ゴシック" w:hAnsi="游ゴシック" w:eastAsia="游ゴシック"/>
      <w:sz w:val="21"/>
      <w:lang w:val="en-US"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ind w:left="0" w:firstLine="0"/>
      <w:outlineLvl w:val="0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ind w:left="0" w:firstLine="0"/>
      <w:outlineLvl w:val="1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ind w:left="0" w:firstLine="0"/>
      <w:outlineLvl w:val="2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小野町　介護給付費準備基金の取崩し3案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ja-JP</dc:language>
</cp:coreProperties>
</file>