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pPr>
      <w:r>
        <w:rPr>
          <w:rFonts w:ascii="游ゴシック" w:cs="游ゴシック" w:eastAsia="游ゴシック" w:hAnsi="游ゴシック"/>
          <w:sz w:val="21"/>
          <w:szCs w:val="21"/>
        </w:rPr>
        <w:t xml:space="preserve"/>
      </w:r>
    </w:p>
    <w:p>
      <w:pPr>
        <w:spacing w:after="180" w:line="300"/>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jc w:val="center"/>
      </w:pPr>
      <w:r>
        <w:rPr>
          <w:rFonts w:ascii="游ゴシック" w:cs="游ゴシック" w:eastAsia="游ゴシック" w:hAnsi="游ゴシック"/>
          <w:sz w:val="24"/>
          <w:szCs w:val="24"/>
        </w:rPr>
        <w:t xml:space="preserve">計画期間　令和9年度 〜 令和11年度</w:t>
      </w:r>
    </w:p>
    <w:p>
      <w:pPr>
        <w:spacing w:after="2400" w:line="300"/>
        <w:jc w:val="center"/>
      </w:pPr>
      <w:r>
        <w:rPr>
          <w:rFonts w:ascii="游ゴシック" w:cs="游ゴシック" w:eastAsia="游ゴシック" w:hAnsi="游ゴシック"/>
          <w:b/>
          <w:bCs/>
          <w:sz w:val="44"/>
          <w:szCs w:val="44"/>
        </w:rPr>
        <w:t xml:space="preserve">素　案</w:t>
      </w:r>
    </w:p>
    <w:p>
      <w:pPr>
        <w:spacing w:after="120" w:line="300"/>
        <w:jc w:val="center"/>
      </w:pPr>
      <w:r>
        <w:rPr>
          <w:rFonts w:ascii="游ゴシック" w:cs="游ゴシック" w:eastAsia="游ゴシック" w:hAnsi="游ゴシック"/>
          <w:sz w:val="24"/>
          <w:szCs w:val="24"/>
        </w:rPr>
        <w:t xml:space="preserve">令和8年8月</w:t>
      </w:r>
    </w:p>
    <w:p>
      <w:pPr>
        <w:spacing w:after="0" w:line="300"/>
        <w:jc w:val="center"/>
      </w:pPr>
      <w:r>
        <w:rPr>
          <w:rFonts w:ascii="游ゴシック" w:cs="游ゴシック" w:eastAsia="游ゴシック" w:hAnsi="游ゴシック"/>
          <w:b/>
          <w:bCs/>
          <w:sz w:val="28"/>
          <w:szCs w:val="28"/>
        </w:rPr>
        <w:t xml:space="preserve">北 塩 原 村</w:t>
      </w:r>
    </w:p>
    <w:p>
      <w:r>
        <w:br w:type="page"/>
      </w:r>
    </w:p>
    <w:p>
      <w:pPr>
        <w:spacing w:after="240" w:line="300"/>
      </w:pPr>
      <w:r>
        <w:rPr>
          <w:rFonts w:ascii="游ゴシック" w:cs="游ゴシック" w:eastAsia="游ゴシック" w:hAnsi="游ゴシック"/>
          <w:b/>
          <w:bCs/>
          <w:color w:val="1F3864"/>
          <w:sz w:val="28"/>
          <w:szCs w:val="28"/>
        </w:rPr>
        <w:t xml:space="preserve">本書の見方</w:t>
      </w:r>
    </w:p>
    <w:p>
      <w:pPr>
        <w:spacing w:after="240" w:line="300"/>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pPr>
      <w:r>
        <w:rPr>
          <w:rFonts w:ascii="游ゴシック" w:cs="游ゴシック" w:eastAsia="游ゴシック" w:hAnsi="游ゴシック"/>
          <w:sz w:val="21"/>
          <w:szCs w:val="21"/>
        </w:rPr>
        <w:t xml:space="preserve"/>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計画策定の趣旨</w:t>
      </w:r>
    </w:p>
    <w:p>
      <w:pPr>
        <w:spacing w:after="120" w:line="300"/>
      </w:pPr>
      <w:r>
        <w:rPr>
          <w:rFonts w:ascii="游ゴシック" w:cs="游ゴシック" w:eastAsia="游ゴシック" w:hAnsi="游ゴシック"/>
          <w:sz w:val="21"/>
          <w:szCs w:val="21"/>
        </w:rPr>
        <w:t xml:space="preserve">本村の高齢化率は令和7年（2025年）に40.5%となり、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pPr>
      <w:r>
        <w:rPr>
          <w:rFonts w:ascii="游ゴシック" w:cs="游ゴシック" w:eastAsia="游ゴシック" w:hAnsi="游ゴシック"/>
          <w:sz w:val="21"/>
          <w:szCs w:val="21"/>
        </w:rPr>
        <w:t xml:space="preserve">後期高齢者は令和12年度（2030年度）の602人まで増加が見込まれます（2-2）。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-8の3）。人材の確保と地域の実情に応じたサービス提供体制の整理が、第10期の中心的な論点になります。</w:t>
      </w:r>
    </w:p>
    <w:p>
      <w:pPr>
        <w:spacing w:after="120" w:line="300"/>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計画の法的根拠</w:t>
      </w:r>
    </w:p>
    <w:p>
      <w:pPr>
        <w:spacing w:after="120" w:line="300"/>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老人福祉計画と介護保険事業計画は、介護保険法第117条第6項および老人福祉法第20条の8第7項により、一体のものとして作成しなければならないとされています。</w:t>
      </w:r>
    </w:p>
    <w:p>
      <w:pPr>
        <w:spacing w:after="120" w:line="300"/>
      </w:pPr>
      <w:r>
        <w:rPr>
          <w:rFonts w:ascii="游ゴシック" w:cs="游ゴシック" w:eastAsia="游ゴシック" w:hAnsi="游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-4・5-5・5-8・5-11）。第3項は認知症施策、医療と介護の連携、介護人材の確保、地域包括支援センターの運営、家族介護者への支援、高齢者の居住の安定などで、本計画では第4章の施策として定めています。</w:t>
      </w:r>
    </w:p>
    <w:p>
      <w:pPr>
        <w:spacing w:after="120" w:line="300"/>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計画の期間</w:t>
      </w:r>
    </w:p>
    <w:p>
      <w:pPr>
        <w:spacing w:after="120" w:line="300"/>
      </w:pPr>
      <w:r>
        <w:rPr>
          <w:rFonts w:ascii="游ゴシック" w:cs="游ゴシック" w:eastAsia="游ゴシック" w:hAnsi="游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計画の位置づけ</w:t>
      </w:r>
    </w:p>
    <w:p>
      <w:pPr>
        <w:spacing w:after="120" w:line="300"/>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pPr>
      <w:r>
        <w:rPr>
          <w:rFonts w:ascii="游ゴシック" w:cs="游ゴシック" w:eastAsia="游ゴシック" w:hAnsi="游ゴシック"/>
          <w:sz w:val="21"/>
          <w:szCs w:val="21"/>
        </w:rPr>
        <w:t xml:space="preserve">また、介護保険法第117条第5項の規定により、本計画は福島県が定める保健医療計画（医療計画）と整合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編集注記：福島県保健医療計画（第八次・令和6年度〜令和11年度）の会津・南会津区域に関する記載を確認のうえ、整合の内容を具体化します。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日常生活圏域の設定</w:t>
      </w:r>
    </w:p>
    <w:p>
      <w:pPr>
        <w:spacing w:after="120" w:line="300"/>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1-6　計画の策定体制と策定経過</w:t>
      </w:r>
    </w:p>
    <w:p>
      <w:pPr>
        <w:spacing w:after="120" w:line="300"/>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1-7　SDGsとの関係</w:t>
      </w:r>
    </w:p>
    <w:p>
      <w:pPr>
        <w:spacing w:after="120" w:line="300"/>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1-8　介護保険制度改正の主な内容</w:t>
      </w:r>
    </w:p>
    <w:p>
      <w:pPr>
        <w:keepNext/>
        <w:keepLines/>
        <w:spacing w:after="100" w:line="300"/>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本村は該当する見込みです（本節3）。施策3-1から3-4および5-4の見込量に関わります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本村はいずれも令和5年度から令和7年度まで利用実績がありません（5-4(2)）。区分を国の様式の確定後に統合します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中長期の見通しは5-11に加えます。入居定員の勘案は、村内に有料老人ホーム・サービス付き高齢者向け住宅がないため、村外施設の利用状況の把握により行います（2-5、4-6）</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pPr>
      <w:r>
        <w:rPr>
          <w:rFonts w:ascii="游ゴシック" w:cs="游ゴシック" w:eastAsia="游ゴシック" w:hAnsi="游ゴシック"/>
          <w:b/>
          <w:bCs/>
          <w:color w:val="2E75B6"/>
          <w:sz w:val="22"/>
          <w:szCs w:val="22"/>
        </w:rPr>
        <w:t xml:space="preserve">2　政令・告示等による主な見直し</w:t>
      </w:r>
    </w:p>
    <w:p>
      <w:pPr>
        <w:spacing w:after="120" w:line="300"/>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補足給付（特定入所者介護サービス費）の基準費用額および補足給付の対象の見直し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令和8年8月および令和9年度（時期は確認中）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区分の細分化の施行が令和9年度の当初からか年度の途中からかにより、令和9年度の見込みが変わり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令和9年度の開始前までに結論</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2-4・2-7の実績値の系列に関わります。見直しの前後で系列が接続するかを確認します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施策4-3（在宅医療・介護連携の推進）に反映します。協力医療機関の3つの要件を満たさない施設の把握が求められますが、村内の入所施設は認知症対応型共同生活介護1施設のみです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本村は中山間・人口減少地域に当たる見込みです（本節3）</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補足給付の区分の細分化の施行の時期は、令和8年3月の課長会議資料によっています。年度の当初からの施行と年度の途中からの施行では令和9年度の補助給付等の見込みが変わるため、より新しい資料により確認したうえで確定します（5-12）。</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keepNext/>
        <w:keepLines/>
        <w:spacing w:after="100" w:line="300"/>
      </w:pPr>
      <w:r>
        <w:rPr>
          <w:rFonts w:ascii="游ゴシック" w:cs="游ゴシック" w:eastAsia="游ゴシック" w:hAnsi="游ゴシック"/>
          <w:b/>
          <w:bCs/>
          <w:color w:val="2E75B6"/>
          <w:sz w:val="22"/>
          <w:szCs w:val="22"/>
        </w:rPr>
        <w:t xml:space="preserve">3　中山間・人口減少地域（特定地域）への該当</w:t>
      </w:r>
    </w:p>
    <w:p>
      <w:pPr>
        <w:spacing w:after="120" w:line="300"/>
      </w:pPr>
      <w:r>
        <w:rPr>
          <w:rFonts w:ascii="游ゴシック" w:cs="游ゴシック" w:eastAsia="游ゴシック" w:hAnsi="游ゴシック"/>
          <w:sz w:val="21"/>
          <w:szCs w:val="21"/>
        </w:rPr>
        <w:t xml:space="preserve">特定地域の指定基準は、令和8年6月29日の社会保障審議会介護保険部会に素案として示されました。3段階の基準のうち基準②は「75歳以上人口密度が5人／km²未満」または「75歳以上人口が1,000人未満かつ減少」のいずれかを満たすこととされています。</w:t>
      </w:r>
    </w:p>
    <w:p>
      <w:pPr>
        <w:spacing w:after="120" w:line="300"/>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該当する見込み（密度要件）。75歳以上人口526人は1,000人未満ですが令和12年まで増加するため、人口要件ではなく密度要件により該当します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一部地域が②に該当する場合、または特定のサービス類型の事業所が地域に存在しない等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該当する見込み。本村で利用実績のないサービスは12種類あります（5-4）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指定を受けられるかどうかは本村にとって重要です。村内で提供されている介護サービスは訪問介護・通所介護・認知症対応型共同生活介護の3種類にとどまり（2-5）、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ただし制度の内容は確定していません。特定地域サービスについては対象となるサービスの種類・人員配置基準の弾力化の程度・報酬の評価の方法が、特定地域居宅サービス等事業については事業の内容・費用の負担・事業費の上限が、いずれも今後定められます。このため本計画では、制度の内容が確定するまでは事業費を算定できません。5-4(4)および5-5は0で立てており（5-12）、確定した時点で見込量と事業費を算定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人口と世帯の状況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keepNext/>
        <w:keepLines/>
        <w:spacing w:after="100" w:line="300"/>
      </w:pPr>
      <w:r>
        <w:rPr>
          <w:rFonts w:ascii="游ゴシック" w:cs="游ゴシック" w:eastAsia="游ゴシック" w:hAnsi="游ゴシック"/>
          <w:b/>
          <w:bCs/>
          <w:color w:val="2E75B6"/>
          <w:sz w:val="22"/>
          <w:szCs w:val="22"/>
        </w:rPr>
        <w:t xml:space="preserve">県内・全国との比較</w:t>
      </w:r>
    </w:p>
    <w:p>
      <w:pPr>
        <w:spacing w:after="120" w:line="300"/>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将来人口の見通し</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pPr>
      <w:r>
        <w:rPr>
          <w:rFonts w:ascii="游ゴシック" w:cs="游ゴシック" w:eastAsia="游ゴシック" w:hAnsi="游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pPr>
      <w:r>
        <w:rPr>
          <w:rFonts w:ascii="游ゴシック" w:cs="游ゴシック" w:eastAsia="游ゴシック" w:hAnsi="游ゴシック"/>
          <w:b/>
          <w:bCs/>
          <w:color w:val="2E75B6"/>
          <w:sz w:val="22"/>
          <w:szCs w:val="22"/>
        </w:rPr>
        <w:t xml:space="preserve">第1号被保険者数の推計</w:t>
      </w:r>
    </w:p>
    <w:p>
      <w:pPr>
        <w:spacing w:after="120" w:line="300"/>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出典：国の推計ワークシート（将来推計総括表）　単位：人　令和7年12月末のみ実績です。</w:t>
      </w:r>
    </w:p>
    <w:p>
      <w:pPr>
        <w:spacing w:after="120" w:line="300"/>
      </w:pPr>
      <w:r>
        <w:rPr>
          <w:rFonts w:ascii="游ゴシック" w:cs="游ゴシック" w:eastAsia="游ゴシック" w:hAnsi="游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要支援・要介護認定の状況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図2-9　性・年齢調整済み認定率の推移（要介護度の区分別）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keepNext/>
        <w:keepLines/>
        <w:spacing w:after="100" w:line="300"/>
      </w:pPr>
      <w:r>
        <w:rPr>
          <w:rFonts w:ascii="游ゴシック" w:cs="游ゴシック" w:eastAsia="游ゴシック" w:hAnsi="游ゴシック"/>
          <w:b/>
          <w:bCs/>
          <w:color w:val="2E75B6"/>
          <w:sz w:val="22"/>
          <w:szCs w:val="22"/>
        </w:rPr>
        <w:t xml:space="preserve">県内・全国との比較</w:t>
      </w:r>
    </w:p>
    <w:p>
      <w:pPr>
        <w:spacing w:after="120" w:line="300"/>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keepNext/>
        <w:keepLines/>
        <w:spacing w:after="100" w:line="300"/>
      </w:pPr>
      <w:r>
        <w:rPr>
          <w:rFonts w:ascii="游ゴシック" w:cs="游ゴシック" w:eastAsia="游ゴシック" w:hAnsi="游ゴシック"/>
          <w:b/>
          <w:bCs/>
          <w:color w:val="2E75B6"/>
          <w:sz w:val="22"/>
          <w:szCs w:val="22"/>
        </w:rPr>
        <w:t xml:space="preserve">要介護度別の状況</w:t>
      </w:r>
    </w:p>
    <w:p>
      <w:pPr>
        <w:spacing w:after="120" w:line="300"/>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keepNext/>
        <w:keepLines/>
        <w:spacing w:after="100" w:line="300"/>
      </w:pPr>
      <w:r>
        <w:rPr>
          <w:rFonts w:ascii="游ゴシック" w:cs="游ゴシック" w:eastAsia="游ゴシック" w:hAnsi="游ゴシック"/>
          <w:b/>
          <w:bCs/>
          <w:color w:val="2E75B6"/>
          <w:sz w:val="22"/>
          <w:szCs w:val="22"/>
        </w:rPr>
        <w:t xml:space="preserve">性・年齢調整済み認定率</w:t>
      </w:r>
    </w:p>
    <w:p>
      <w:pPr>
        <w:spacing w:after="120" w:line="300"/>
      </w:pPr>
      <w:r>
        <w:rPr>
          <w:rFonts w:ascii="游ゴシック" w:cs="游ゴシック" w:eastAsia="游ゴシック" w:hAnsi="游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pPr>
      <w:r>
        <w:rPr>
          <w:rFonts w:ascii="游ゴシック" w:cs="游ゴシック" w:eastAsia="游ゴシック" w:hAnsi="游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　出典：地域包括ケア「見える化」システム</w:t>
      </w:r>
    </w:p>
    <w:p>
      <w:pPr>
        <w:spacing w:after="120" w:line="300"/>
      </w:pPr>
      <w:r>
        <w:rPr>
          <w:rFonts w:ascii="游ゴシック" w:cs="游ゴシック" w:eastAsia="游ゴシック" w:hAnsi="游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pPr>
      <w:r>
        <w:rPr>
          <w:rFonts w:ascii="游ゴシック" w:cs="游ゴシック" w:eastAsia="游ゴシック" w:hAnsi="游ゴシック"/>
          <w:sz w:val="21"/>
          <w:szCs w:val="21"/>
        </w:rPr>
        <w:t xml:space="preserve">重度化は進んでいません。進んでいるのは軽度の認定の増加です。2-3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評価指標が用いる「性・年齢調整済み要介護2以上認定率」は、令和5年度の実績で8.65%です（2-8）。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keepNext/>
        <w:keepLines/>
        <w:spacing w:after="100" w:line="300"/>
      </w:pPr>
      <w:r>
        <w:rPr>
          <w:rFonts w:ascii="游ゴシック" w:cs="游ゴシック" w:eastAsia="游ゴシック" w:hAnsi="游ゴシック"/>
          <w:b/>
          <w:bCs/>
          <w:color w:val="2E75B6"/>
          <w:sz w:val="22"/>
          <w:szCs w:val="22"/>
        </w:rPr>
        <w:t xml:space="preserve">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keepNext/>
        <w:keepLines/>
        <w:spacing w:after="100" w:line="300"/>
      </w:pPr>
      <w:r>
        <w:rPr>
          <w:rFonts w:ascii="游ゴシック" w:cs="游ゴシック" w:eastAsia="游ゴシック" w:hAnsi="游ゴシック"/>
          <w:b/>
          <w:bCs/>
          <w:color w:val="2E75B6"/>
          <w:sz w:val="22"/>
          <w:szCs w:val="22"/>
        </w:rPr>
        <w:t xml:space="preserve">認知症高齢者の状況</w:t>
      </w:r>
    </w:p>
    <w:p>
      <w:pPr>
        <w:spacing w:after="120" w:line="300"/>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591"/>
        <w:gridCol w:w="1591"/>
        <w:gridCol w:w="1591"/>
        <w:gridCol w:w="1591"/>
        <w:gridCol w:w="1498"/>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自立度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令和5年10月末</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令和6年10月末</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Ⅰ</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Ⅳ</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M</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　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認定者数合計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Ⅱ以上の割合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何らかの介護・支援を必要とする状態とされる自立度Ⅱ以上の方は、令和4年10月末の132人から令和6年10月末の161人へ、2年間で29人（22.0%）増えました。認定者に占める割合は57.8%から63.6%へ上がっています。</w:t>
      </w:r>
    </w:p>
    <w:p>
      <w:pPr>
        <w:spacing w:after="120" w:line="300"/>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の0.178人分から令和6年の0.168人分へと薄くなっています。この点は施策3-2および5-4(8)で扱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の認定者数合計は各年10月末の値で、B4-a（各年3月末の認定者数）とは時点も水準も異なります。令和6年10月末の253人に対し令和7年3月末の認定者数は198人であり、55人の差があります。集計の範囲が異なるものとみられますが、確認が取れていないため、実数ではなく構成比（Ⅱ以上の割合）を中心にお読みください。村に確認のうえ、確定した数値に置き換え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介護サービスの利用状況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図2-10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図2-11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図2-12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図2-13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図2-14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＋983</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keepNext/>
        <w:keepLines/>
        <w:spacing w:after="100" w:line="300"/>
      </w:pPr>
      <w:r>
        <w:rPr>
          <w:rFonts w:ascii="游ゴシック" w:cs="游ゴシック" w:eastAsia="游ゴシック" w:hAnsi="游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306,567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keepNext/>
        <w:keepLines/>
        <w:spacing w:after="100" w:line="300"/>
      </w:pPr>
      <w:r>
        <w:rPr>
          <w:rFonts w:ascii="游ゴシック" w:cs="游ゴシック" w:eastAsia="游ゴシック" w:hAnsi="游ゴシック"/>
          <w:b/>
          <w:bCs/>
          <w:color w:val="2E75B6"/>
          <w:sz w:val="22"/>
          <w:szCs w:val="22"/>
        </w:rPr>
        <w:t xml:space="preserve">★サービス区分別に見た変化</w:t>
      </w:r>
    </w:p>
    <w:p>
      <w:pPr>
        <w:spacing w:after="120" w:line="300"/>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サービス供給体制の状況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図2-15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33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図2-16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keepNext/>
        <w:keepLines/>
        <w:spacing w:after="100" w:line="300"/>
      </w:pPr>
      <w:r>
        <w:rPr>
          <w:rFonts w:ascii="游ゴシック" w:cs="游ゴシック" w:eastAsia="游ゴシック" w:hAnsi="游ゴシック"/>
          <w:b/>
          <w:bCs/>
          <w:color w:val="2E75B6"/>
          <w:sz w:val="22"/>
          <w:szCs w:val="22"/>
        </w:rPr>
        <w:t xml:space="preserve">村内に所在する事業所の数</w:t>
      </w:r>
    </w:p>
    <w:p>
      <w:pPr>
        <w:spacing w:after="120" w:line="300"/>
      </w:pPr>
      <w:r>
        <w:rPr>
          <w:rFonts w:ascii="游ゴシック" w:cs="游ゴシック" w:eastAsia="游ゴシック" w:hAnsi="游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keepNext/>
        <w:keepLines/>
        <w:spacing w:after="100" w:line="300"/>
      </w:pPr>
      <w:r>
        <w:rPr>
          <w:rFonts w:ascii="游ゴシック" w:cs="游ゴシック" w:eastAsia="游ゴシック" w:hAnsi="游ゴシック"/>
          <w:b/>
          <w:bCs/>
          <w:color w:val="2E75B6"/>
          <w:sz w:val="22"/>
          <w:szCs w:val="22"/>
        </w:rPr>
        <w:t xml:space="preserve">事業所数からみた供給体制の位置</w:t>
      </w:r>
    </w:p>
    <w:p>
      <w:pPr>
        <w:spacing w:after="120" w:line="300"/>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keepNext/>
        <w:keepLines/>
        <w:spacing w:after="100" w:line="300"/>
      </w:pPr>
      <w:r>
        <w:rPr>
          <w:rFonts w:ascii="游ゴシック" w:cs="游ゴシック" w:eastAsia="游ゴシック" w:hAnsi="游ゴシック"/>
          <w:b/>
          <w:bCs/>
          <w:color w:val="2E75B6"/>
          <w:sz w:val="22"/>
          <w:szCs w:val="22"/>
        </w:rPr>
        <w:t xml:space="preserve">医療と介護の連携の状況（加算の算定状況）</w:t>
      </w:r>
    </w:p>
    <w:p>
      <w:pPr>
        <w:spacing w:after="120" w:line="300"/>
      </w:pPr>
      <w:r>
        <w:rPr>
          <w:rFonts w:ascii="游ゴシック" w:cs="游ゴシック" w:eastAsia="游ゴシック" w:hAnsi="游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村内に訪問看護事業所がないため値がない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7241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図2-17　医療と介護の連携に関する加算の算定率と全国の中での位置</w:t>
      </w:r>
    </w:p>
    <w:p>
      <w:pPr>
        <w:spacing w:after="200"/>
        <w:jc w:val="center"/>
      </w:pPr>
      <w:r>
        <w:rPr>
          <w:rFonts w:ascii="游ゴシック" w:cs="游ゴシック" w:eastAsia="游ゴシック" w:hAnsi="游ゴシック"/>
          <w:color w:val="595959"/>
          <w:sz w:val="16"/>
          <w:szCs w:val="16"/>
        </w:rPr>
        <w:t xml:space="preserve">出典：地域包括ケア「見える化」システム　地域分析（医療介護連携）</w:t>
      </w:r>
    </w:p>
    <w:p>
      <w:pPr>
        <w:spacing w:after="120" w:line="300"/>
      </w:pPr>
      <w:r>
        <w:rPr>
          <w:rFonts w:ascii="游ゴシック" w:cs="游ゴシック" w:eastAsia="游ゴシック" w:hAnsi="游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-3はこの状況を前提に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同じ地域分析には「在宅死亡者数（自宅）」も収録されており、本村の偏差値は33.68と全国平均を大きく下回ります。ただし値は36.74で単位が「人」とされており、本村の年間死亡数に照らすと実数とは考えられません。割合か人口あたりの率とみられますが定義が確かめられていないため、本計画では偏差値のみを用い、実数は掲げません。基本指針の別表「事項三 死亡場所別の死亡数」への対応は、この定義を確かめたうえで改めます（資6）。</w:t>
      </w:r>
    </w:p>
    <w:p>
      <w:pPr>
        <w:keepNext/>
        <w:keepLines/>
        <w:spacing w:after="100" w:line="300"/>
      </w:pPr>
      <w:r>
        <w:rPr>
          <w:rFonts w:ascii="游ゴシック" w:cs="游ゴシック" w:eastAsia="游ゴシック" w:hAnsi="游ゴシック"/>
          <w:b/>
          <w:bCs/>
          <w:color w:val="2E75B6"/>
          <w:sz w:val="22"/>
          <w:szCs w:val="22"/>
        </w:rPr>
        <w:t xml:space="preserve">村外サービスの利用状況</w:t>
      </w:r>
    </w:p>
    <w:p>
      <w:pPr>
        <w:spacing w:after="120" w:line="300"/>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2-6　地域支援事業・介護予防の状況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図2-18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図2-19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pPr>
      <w:r>
        <w:rPr>
          <w:rFonts w:ascii="游ゴシック" w:cs="游ゴシック" w:eastAsia="游ゴシック" w:hAnsi="游ゴシック"/>
          <w:b/>
          <w:bCs/>
          <w:color w:val="2E75B6"/>
          <w:sz w:val="22"/>
          <w:szCs w:val="22"/>
        </w:rPr>
        <w:t xml:space="preserve">地域包括支援センター</w:t>
      </w:r>
    </w:p>
    <w:p>
      <w:pPr>
        <w:spacing w:after="120" w:line="300"/>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2-7　介護保険財政の状況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図2-20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図2-21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図2-22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0.67倍</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keepNext/>
        <w:keepLines/>
        <w:spacing w:after="100" w:line="300"/>
      </w:pPr>
      <w:r>
        <w:rPr>
          <w:rFonts w:ascii="游ゴシック" w:cs="游ゴシック" w:eastAsia="游ゴシック" w:hAnsi="游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2-8　保険者機能の評価</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図2-23　交付金 目標別得点と全国平均の対比（令和8年度）</w:t>
      </w:r>
    </w:p>
    <w:p>
      <w:pPr>
        <w:spacing w:after="200"/>
        <w:jc w:val="center"/>
      </w:pPr>
      <w:r>
        <w:rPr>
          <w:rFonts w:ascii="游ゴシック" w:cs="游ゴシック" w:eastAsia="游ゴシック" w:hAnsi="游ゴシック"/>
          <w:color w:val="595959"/>
          <w:sz w:val="16"/>
          <w:szCs w:val="16"/>
        </w:rPr>
        <w:t xml:space="preserve">出典：厚生労働省「令和8年度評価指標に係る該当状況調査票集計表」</w:t>
      </w:r>
    </w:p>
    <w:p>
      <w:pPr>
        <w:keepNext/>
        <w:keepLines/>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1527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図2-24　交付金 合計得点の推移（村・福島県平均・全国平均）</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w:t>
      </w:r>
    </w:p>
    <w:p>
      <w:pPr>
        <w:spacing w:after="120" w:line="300"/>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keepNext/>
        <w:keepLines/>
        <w:spacing w:after="100" w:line="300"/>
      </w:pPr>
      <w:r>
        <w:rPr>
          <w:rFonts w:ascii="游ゴシック" w:cs="游ゴシック" w:eastAsia="游ゴシック" w:hAnsi="游ゴシック"/>
          <w:b/>
          <w:bCs/>
          <w:color w:val="2E75B6"/>
          <w:sz w:val="22"/>
          <w:szCs w:val="22"/>
        </w:rPr>
        <w:t xml:space="preserve">目標別の得点の推移</w:t>
      </w:r>
    </w:p>
    <w:p>
      <w:pPr>
        <w:spacing w:after="120" w:line="300"/>
      </w:pPr>
      <w:r>
        <w:rPr>
          <w:rFonts w:ascii="游ゴシック" w:cs="游ゴシック" w:eastAsia="游ゴシック" w:hAnsi="游ゴシック"/>
          <w:sz w:val="21"/>
          <w:szCs w:val="21"/>
        </w:rPr>
        <w:t xml:space="preserve">交付金は、推進・支援それぞれに4つの目標があり、いずれも100点満点です。目標別に3か年の推移を見ると、伸びた目標と下がった目標が分かれます。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123"/>
        <w:gridCol w:w="1123"/>
        <w:gridCol w:w="1123"/>
        <w:gridCol w:w="1685"/>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交付金・目標（各100点）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計（400点）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計（400点）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伸びたのは推進の目標Ⅰ（持続可能な地域のあるべき姿をかたちにする）で、令和6年度の17点から令和8年度の76点へ59点伸びました。計画の進捗管理や評価結果の活用に関する項目を取得したことによります。支援の目標Ⅰ（介護予防／日常生活支援）も27点から71点へ44点伸びています。</w:t>
      </w:r>
    </w:p>
    <w:p>
      <w:pPr>
        <w:spacing w:after="120" w:line="300"/>
      </w:pPr>
      <w:r>
        <w:rPr>
          <w:rFonts w:ascii="游ゴシック" w:cs="游ゴシック" w:eastAsia="游ゴシック" w:hAnsi="游ゴシック"/>
          <w:sz w:val="21"/>
          <w:szCs w:val="21"/>
        </w:rPr>
        <w:t xml:space="preserve">一方、推進・支援に共通する目標Ⅳ（高齢者が可能な限り自立した日常生活を営む）は、令和7年度の70点から令和8年度の45点へ25点下がりました。目標Ⅳは成果指標群であり、取組の有無ではなく要介護度の変化や認定率の実績によって決まります（6-3）。支援の目標Ⅱ（認知症総合支援）も令和6年度の40点から令和8年度の32点へ8点下がっており、2-8の後段で述べるとおり本村固有の弱点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目標別の得点は、該当状況調査票集計表の集計された行（配点100点）によります。同じ表に明細の列も収められているため、明細と集計を足し合わせると二重になります。各目標の得点を合計すると、推進124・155・229点、支援171・184・218点となり、上表の交付金別の得点と一致します。令和6年度の目標別の得点は「見える化」システム（同システムの令和5年度）とも一致することを確かめ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pPr>
      <w:r>
        <w:rPr>
          <w:rFonts w:ascii="游ゴシック" w:cs="游ゴシック" w:eastAsia="游ゴシック" w:hAnsi="游ゴシック"/>
          <w:sz w:val="21"/>
          <w:szCs w:val="21"/>
        </w:rPr>
        <w:t xml:space="preserve">3か年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keepNext/>
        <w:keepLines/>
        <w:spacing w:after="100" w:line="300"/>
      </w:pPr>
      <w:r>
        <w:rPr>
          <w:rFonts w:ascii="游ゴシック" w:cs="游ゴシック" w:eastAsia="游ゴシック" w:hAnsi="游ゴシック"/>
          <w:b/>
          <w:bCs/>
          <w:color w:val="2E75B6"/>
          <w:sz w:val="22"/>
          <w:szCs w:val="22"/>
        </w:rPr>
        <w:t xml:space="preserve">得点が伸びた項目</w:t>
      </w:r>
    </w:p>
    <w:p>
      <w:pPr>
        <w:spacing w:after="120" w:line="300"/>
      </w:pPr>
      <w:r>
        <w:rPr>
          <w:rFonts w:ascii="游ゴシック" w:cs="游ゴシック" w:eastAsia="游ゴシック" w:hAnsi="游ゴシック"/>
          <w:sz w:val="21"/>
          <w:szCs w:val="21"/>
        </w:rPr>
        <w:t xml:space="preserve">3か年で152点増えた内訳を見ると、伸びは特定の領域に集中しています。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pPr>
      <w:r>
        <w:rPr>
          <w:rFonts w:ascii="游ゴシック" w:cs="游ゴシック" w:eastAsia="游ゴシック" w:hAnsi="游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keepNext/>
        <w:keepLines/>
        <w:spacing w:after="100" w:line="300"/>
      </w:pPr>
      <w:r>
        <w:rPr>
          <w:rFonts w:ascii="游ゴシック" w:cs="游ゴシック" w:eastAsia="游ゴシック" w:hAnsi="游ゴシック"/>
          <w:b/>
          <w:bCs/>
          <w:color w:val="2E75B6"/>
          <w:sz w:val="22"/>
          <w:szCs w:val="22"/>
        </w:rPr>
        <w:t xml:space="preserve">指標群別にみると</w:t>
      </w:r>
    </w:p>
    <w:p>
      <w:pPr>
        <w:spacing w:after="120" w:line="300"/>
      </w:pPr>
      <w:r>
        <w:rPr>
          <w:rFonts w:ascii="游ゴシック" w:cs="游ゴシック" w:eastAsia="游ゴシック" w:hAnsi="游ゴシック"/>
          <w:sz w:val="21"/>
          <w:szCs w:val="21"/>
        </w:rPr>
        <w:t xml:space="preserve">評価指標は、体制の整備を評価する「取組・体制指標群」、実際の活動量を評価する「活動指標群」、要介護度の変化等の結果を評価する「成果指標群」の3つに分かれます。令和6年度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434"/>
        <w:gridCol w:w="2621"/>
        <w:gridCol w:w="1684"/>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保険者機能強化推進交付金</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介護保険保険者努力支援交付金</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130</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取組・体制指標群と成果指標群では一定の得点を得ている一方、活動指標群は38点にとどまります。会議体や計画などの体制は整っているものの、そこから生まれる活動の量が十分でないことを示しています。施策の重点を、体制の整備から活動量の確保へ移す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指標群別の内訳は地域包括ケア「見える化」システム（同システムの令和5年度。本表の令和6年度に当たります）によります。令和7年度・令和8年度の指標群別の内訳は同システムに収録がないため、本表は令和6年度のみを示しています。</w:t>
      </w:r>
    </w:p>
    <w:p>
      <w:pPr>
        <w:keepNext/>
        <w:keepLines/>
        <w:spacing w:after="100" w:line="300"/>
      </w:pPr>
      <w:r>
        <w:rPr>
          <w:rFonts w:ascii="游ゴシック" w:cs="游ゴシック" w:eastAsia="游ゴシック" w:hAnsi="游ゴシック"/>
          <w:b/>
          <w:bCs/>
          <w:color w:val="2E75B6"/>
          <w:sz w:val="22"/>
          <w:szCs w:val="22"/>
        </w:rPr>
        <w:t xml:space="preserve">3か年の推移の全体像</w:t>
      </w:r>
    </w:p>
    <w:p>
      <w:pPr>
        <w:spacing w:after="120" w:line="300"/>
      </w:pPr>
      <w:r>
        <w:rPr>
          <w:rFonts w:ascii="游ゴシック" w:cs="游ゴシック" w:eastAsia="游ゴシック" w:hAnsi="游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得点計 146点</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pPr>
      <w:r>
        <w:rPr>
          <w:rFonts w:ascii="游ゴシック" w:cs="游ゴシック" w:eastAsia="游ゴシック" w:hAnsi="游ゴシック"/>
          <w:sz w:val="21"/>
          <w:szCs w:val="21"/>
        </w:rPr>
        <w:t xml:space="preserve">満点を3か年維持しているのは50項目146点です。配点の大きいものは給付費適正化方策の策定（ア・イ各8点）と在宅医療・介護連携（支援目標Ⅲの9項目32点）で、本村の強みにあたります。</w:t>
      </w:r>
    </w:p>
    <w:p>
      <w:pPr>
        <w:keepNext/>
        <w:keepLines/>
        <w:spacing w:after="100" w:line="300"/>
      </w:pPr>
      <w:r>
        <w:rPr>
          <w:rFonts w:ascii="游ゴシック" w:cs="游ゴシック" w:eastAsia="游ゴシック" w:hAnsi="游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pPr>
      <w:r>
        <w:rPr>
          <w:rFonts w:ascii="游ゴシック" w:cs="游ゴシック" w:eastAsia="游ゴシック" w:hAnsi="游ゴシック"/>
          <w:sz w:val="21"/>
          <w:szCs w:val="21"/>
        </w:rPr>
        <w:t xml:space="preserve">悪化した23項目115点の内訳を分けると、18項目93点は成果指標群（要介護度の変化・健康寿命）です。これらは国の統計から自動的に算定されるため、村の取組の後退を示すものではありません。村の取組として後退したのは次の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744"/>
        <w:gridCol w:w="936"/>
        <w:gridCol w:w="1498"/>
        <w:gridCol w:w="168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給付適正化の主要な事業の実施と記録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支援・目標Ⅰ</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総合事業における従前相当以外のサービスの実施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重いのは「給付適正化の主要な事業の実施と記録」で、全国の96.9%が取得している項目です。本村は令和6年度・令和7年度は取得しており、令和8年度に落としました。福祉用具購入費・住宅改修費の妥当性の検討（65.1%）、在宅医療・介護連携の4つの場面ごとの目指すべき姿の設定（72.3%）、相談内容の取りまとめと関係者間での共有（85.9%）も同様です。取組が止まったのか、国への該当状況調査票の記載によるものかを確認する必要があります。取組が止まったのであれば、令和9年度の評価で取り戻せます。</w:t>
      </w:r>
    </w:p>
    <w:p>
      <w:pPr>
        <w:keepNext/>
        <w:keepLines/>
        <w:spacing w:after="100" w:line="300"/>
      </w:pPr>
      <w:r>
        <w:rPr>
          <w:rFonts w:ascii="游ゴシック" w:cs="游ゴシック" w:eastAsia="游ゴシック" w:hAnsi="游ゴシック"/>
          <w:b/>
          <w:bCs/>
          <w:color w:val="2E75B6"/>
          <w:sz w:val="22"/>
          <w:szCs w:val="22"/>
        </w:rPr>
        <w:t xml:space="preserve">目標別に全国平均と比べると</w:t>
      </w:r>
    </w:p>
    <w:p>
      <w:pPr>
        <w:spacing w:after="120" w:line="300"/>
      </w:pPr>
      <w:r>
        <w:rPr>
          <w:rFonts w:ascii="游ゴシック" w:cs="游ゴシック" w:eastAsia="游ゴシック" w:hAnsi="游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030"/>
        <w:gridCol w:w="1030"/>
        <w:gridCol w:w="1030"/>
        <w:gridCol w:w="1028"/>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県平均・県内順位は福島県内59市町村、全国順位は全国1,741市町村の中での位置です。各目標の配点はいずれも100点です。</w:t>
      </w:r>
    </w:p>
    <w:p>
      <w:pPr>
        <w:spacing w:after="120" w:line="300"/>
      </w:pPr>
      <w:r>
        <w:rPr>
          <w:rFonts w:ascii="游ゴシック" w:cs="游ゴシック" w:eastAsia="游ゴシック" w:hAnsi="游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pPr>
      <w:r>
        <w:rPr>
          <w:rFonts w:ascii="游ゴシック" w:cs="游ゴシック" w:eastAsia="游ゴシック" w:hAnsi="游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keepNext/>
        <w:keepLines/>
        <w:spacing w:after="100" w:line="300"/>
      </w:pPr>
      <w:r>
        <w:rPr>
          <w:rFonts w:ascii="游ゴシック" w:cs="游ゴシック" w:eastAsia="游ゴシック" w:hAnsi="游ゴシック"/>
          <w:b/>
          <w:bCs/>
          <w:color w:val="2E75B6"/>
          <w:sz w:val="22"/>
          <w:szCs w:val="22"/>
        </w:rPr>
        <w:t xml:space="preserve">福島県の評価と重ねると</w:t>
      </w:r>
    </w:p>
    <w:p>
      <w:pPr>
        <w:spacing w:after="120" w:line="300"/>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2622"/>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keepNext/>
        <w:keepLines/>
        <w:spacing w:after="100" w:line="300"/>
      </w:pPr>
      <w:r>
        <w:rPr>
          <w:rFonts w:ascii="游ゴシック" w:cs="游ゴシック" w:eastAsia="游ゴシック" w:hAnsi="游ゴシック"/>
          <w:b/>
          <w:bCs/>
          <w:color w:val="2E75B6"/>
          <w:sz w:val="22"/>
          <w:szCs w:val="22"/>
        </w:rPr>
        <w:t xml:space="preserve">残された課題は2点です</w:t>
      </w:r>
    </w:p>
    <w:p>
      <w:pPr>
        <w:spacing w:after="120" w:line="300"/>
      </w:pPr>
      <w:r>
        <w:rPr>
          <w:rFonts w:ascii="游ゴシック" w:cs="游ゴシック" w:eastAsia="游ゴシック" w:hAnsi="游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keepNext/>
        <w:keepLines/>
        <w:spacing w:after="100" w:line="300"/>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pPr>
      <w:r>
        <w:rPr>
          <w:rFonts w:ascii="游ゴシック" w:cs="游ゴシック" w:eastAsia="游ゴシック" w:hAnsi="游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680"/>
        <w:gridCol w:w="936"/>
        <w:gridCol w:w="2246"/>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成果指標（アウトカム）の状況</w:t>
      </w:r>
    </w:p>
    <w:p>
      <w:pPr>
        <w:spacing w:after="120" w:line="300"/>
      </w:pPr>
      <w:r>
        <w:rPr>
          <w:rFonts w:ascii="游ゴシック" w:cs="游ゴシック" w:eastAsia="游ゴシック" w:hAnsi="游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842"/>
        <w:gridCol w:w="1310"/>
        <w:gridCol w:w="1310"/>
        <w:gridCol w:w="1310"/>
        <w:gridCol w:w="1218"/>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pPr>
      <w:r>
        <w:rPr>
          <w:rFonts w:ascii="游ゴシック" w:cs="游ゴシック" w:eastAsia="游ゴシック" w:hAnsi="游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3557"/>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重度化が進行</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前年よりさらに悪化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2-9　第9期計画の進捗と評価</w:t>
      </w:r>
    </w:p>
    <w:p>
      <w:pPr>
        <w:spacing w:after="120" w:line="300"/>
      </w:pPr>
      <w:r>
        <w:rPr>
          <w:rFonts w:ascii="游ゴシック" w:cs="游ゴシック" w:eastAsia="游ゴシック" w:hAnsi="游ゴシック"/>
          <w:sz w:val="21"/>
          <w:szCs w:val="21"/>
        </w:rPr>
        <w:t xml:space="preserve">第9期計画に掲げた数値と実績を比較し、乖離の状況とその要因を検証しました。</w:t>
      </w:r>
    </w:p>
    <w:p>
      <w:pPr>
        <w:keepNext/>
        <w:keepLines/>
        <w:spacing w:after="100" w:line="300"/>
      </w:pPr>
      <w:r>
        <w:rPr>
          <w:rFonts w:ascii="游ゴシック" w:cs="游ゴシック" w:eastAsia="游ゴシック" w:hAnsi="游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246"/>
        <w:gridCol w:w="2621"/>
        <w:gridCol w:w="2247"/>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＋58人</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＋61人</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第9期計画は将来推計人口をそのまま用いたため、実績を6.9%下回る見込みとなりました。第1号被保険者数は保険料算定の基礎となるため、この乖離は保険料の水準にも影響しています。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keepNext/>
        <w:keepLines/>
        <w:spacing w:after="100" w:line="300"/>
      </w:pPr>
      <w:r>
        <w:rPr>
          <w:rFonts w:ascii="游ゴシック" w:cs="游ゴシック" w:eastAsia="游ゴシック" w:hAnsi="游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keepNext/>
        <w:keepLines/>
        <w:spacing w:after="100" w:line="300"/>
      </w:pPr>
      <w:r>
        <w:rPr>
          <w:rFonts w:ascii="游ゴシック" w:cs="游ゴシック" w:eastAsia="游ゴシック" w:hAnsi="游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434"/>
        <w:gridCol w:w="2434"/>
        <w:gridCol w:w="2246"/>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令和5年度は見込みを1.4%上回りました。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編集注記：令和6年度決算および令和7年度の給付費見込の提供を受けたうえで、第9期全体の乖離を確定します。</w:t>
      </w:r>
    </w:p>
    <w:p>
      <w:pPr>
        <w:keepNext/>
        <w:keepLines/>
        <w:spacing w:after="100" w:line="300"/>
      </w:pPr>
      <w:r>
        <w:rPr>
          <w:rFonts w:ascii="游ゴシック" w:cs="游ゴシック" w:eastAsia="游ゴシック" w:hAnsi="游ゴシック"/>
          <w:b/>
          <w:bCs/>
          <w:color w:val="2E75B6"/>
          <w:sz w:val="22"/>
          <w:szCs w:val="22"/>
        </w:rPr>
        <w:t xml:space="preserve">検証から得られた課題</w:t>
      </w:r>
    </w:p>
    <w:p>
      <w:pPr>
        <w:spacing w:after="120" w:line="300"/>
      </w:pPr>
      <w:r>
        <w:rPr>
          <w:rFonts w:ascii="游ゴシック" w:cs="游ゴシック" w:eastAsia="游ゴシック" w:hAnsi="游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2-10　アンケート調査結果</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2-11　本村の課題</w:t>
      </w:r>
    </w:p>
    <w:p>
      <w:pPr>
        <w:spacing w:after="120" w:line="300"/>
      </w:pPr>
      <w:r>
        <w:rPr>
          <w:rFonts w:ascii="游ゴシック" w:cs="游ゴシック" w:eastAsia="游ゴシック" w:hAnsi="游ゴシック"/>
          <w:sz w:val="21"/>
          <w:szCs w:val="21"/>
        </w:rPr>
        <w:t xml:space="preserve">これまでの分析から、本村の課題は次の6点に整理されます。</w:t>
      </w:r>
    </w:p>
    <w:p>
      <w:pPr>
        <w:keepNext/>
        <w:keepLines/>
        <w:spacing w:after="100" w:line="300"/>
      </w:pPr>
      <w:r>
        <w:rPr>
          <w:rFonts w:ascii="游ゴシック" w:cs="游ゴシック" w:eastAsia="游ゴシック" w:hAnsi="游ゴシック"/>
          <w:b/>
          <w:bCs/>
          <w:color w:val="2E75B6"/>
          <w:sz w:val="22"/>
          <w:szCs w:val="22"/>
        </w:rPr>
        <w:t xml:space="preserve">課題1　認定を受けても、利用できるサービスが限られています</w:t>
      </w:r>
    </w:p>
    <w:p>
      <w:pPr>
        <w:spacing w:after="120" w:line="300"/>
      </w:pPr>
      <w:r>
        <w:rPr>
          <w:rFonts w:ascii="游ゴシック" w:cs="游ゴシック" w:eastAsia="游ゴシック" w:hAnsi="游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pPr>
      <w:r>
        <w:rPr>
          <w:rFonts w:ascii="游ゴシック" w:cs="游ゴシック" w:eastAsia="游ゴシック" w:hAnsi="游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keepNext/>
        <w:keepLines/>
        <w:spacing w:after="100" w:line="300"/>
      </w:pPr>
      <w:r>
        <w:rPr>
          <w:rFonts w:ascii="游ゴシック" w:cs="游ゴシック" w:eastAsia="游ゴシック" w:hAnsi="游ゴシック"/>
          <w:b/>
          <w:bCs/>
          <w:color w:val="2E75B6"/>
          <w:sz w:val="22"/>
          <w:szCs w:val="22"/>
        </w:rPr>
        <w:t xml:space="preserve">課題2　軽度の方が急増し、その受け皿が整っていません</w:t>
      </w:r>
    </w:p>
    <w:p>
      <w:pPr>
        <w:spacing w:after="120" w:line="300"/>
      </w:pPr>
      <w:r>
        <w:rPr>
          <w:rFonts w:ascii="游ゴシック" w:cs="游ゴシック" w:eastAsia="游ゴシック" w:hAnsi="游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keepNext/>
        <w:keepLines/>
        <w:spacing w:after="100" w:line="300"/>
      </w:pPr>
      <w:r>
        <w:rPr>
          <w:rFonts w:ascii="游ゴシック" w:cs="游ゴシック" w:eastAsia="游ゴシック" w:hAnsi="游ゴシック"/>
          <w:b/>
          <w:bCs/>
          <w:color w:val="2E75B6"/>
          <w:sz w:val="22"/>
          <w:szCs w:val="22"/>
        </w:rPr>
        <w:t xml:space="preserve">課題3　計画を評価し改善する仕組みを定着させる必要があります</w:t>
      </w:r>
    </w:p>
    <w:p>
      <w:pPr>
        <w:spacing w:after="120" w:line="300"/>
      </w:pPr>
      <w:r>
        <w:rPr>
          <w:rFonts w:ascii="游ゴシック" w:cs="游ゴシック" w:eastAsia="游ゴシック" w:hAnsi="游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pPr>
      <w:r>
        <w:rPr>
          <w:rFonts w:ascii="游ゴシック" w:cs="游ゴシック" w:eastAsia="游ゴシック" w:hAnsi="游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keepNext/>
        <w:keepLines/>
        <w:spacing w:after="100" w:line="300"/>
      </w:pPr>
      <w:r>
        <w:rPr>
          <w:rFonts w:ascii="游ゴシック" w:cs="游ゴシック" w:eastAsia="游ゴシック" w:hAnsi="游ゴシック"/>
          <w:b/>
          <w:bCs/>
          <w:color w:val="2E75B6"/>
          <w:sz w:val="22"/>
          <w:szCs w:val="22"/>
        </w:rPr>
        <w:t xml:space="preserve">課題4　保険料と給付水準の関係を説明する必要があります</w:t>
      </w:r>
    </w:p>
    <w:p>
      <w:pPr>
        <w:spacing w:after="120" w:line="300"/>
      </w:pPr>
      <w:r>
        <w:rPr>
          <w:rFonts w:ascii="游ゴシック" w:cs="游ゴシック" w:eastAsia="游ゴシック" w:hAnsi="游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keepNext/>
        <w:keepLines/>
        <w:spacing w:after="100" w:line="300"/>
      </w:pPr>
      <w:r>
        <w:rPr>
          <w:rFonts w:ascii="游ゴシック" w:cs="游ゴシック" w:eastAsia="游ゴシック" w:hAnsi="游ゴシック"/>
          <w:b/>
          <w:bCs/>
          <w:color w:val="2E75B6"/>
          <w:sz w:val="22"/>
          <w:szCs w:val="22"/>
        </w:rPr>
        <w:t xml:space="preserve">課題5　人口構造の転換に備える必要があります</w:t>
      </w:r>
    </w:p>
    <w:p>
      <w:pPr>
        <w:spacing w:after="120" w:line="300"/>
      </w:pPr>
      <w:r>
        <w:rPr>
          <w:rFonts w:ascii="游ゴシック" w:cs="游ゴシック" w:eastAsia="游ゴシック" w:hAnsi="游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keepNext/>
        <w:keepLines/>
        <w:spacing w:after="100" w:line="300"/>
      </w:pPr>
      <w:r>
        <w:rPr>
          <w:rFonts w:ascii="游ゴシック" w:cs="游ゴシック" w:eastAsia="游ゴシック" w:hAnsi="游ゴシック"/>
          <w:b/>
          <w:bCs/>
          <w:color w:val="2E75B6"/>
          <w:sz w:val="22"/>
          <w:szCs w:val="22"/>
        </w:rPr>
        <w:t xml:space="preserve">課題6　冬期の生活と移動を支える必要があります</w:t>
      </w:r>
    </w:p>
    <w:p>
      <w:pPr>
        <w:spacing w:after="120" w:line="300"/>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pPr>
      <w:r>
        <w:rPr>
          <w:rFonts w:ascii="游ゴシック" w:cs="游ゴシック" w:eastAsia="游ゴシック" w:hAnsi="游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基本理念</w:t>
      </w:r>
    </w:p>
    <w:p>
      <w:pPr>
        <w:spacing w:after="120" w:line="300"/>
      </w:pPr>
      <w:r>
        <w:rPr>
          <w:rFonts w:ascii="游ゴシック" w:cs="游ゴシック" w:eastAsia="游ゴシック" w:hAnsi="游ゴシック"/>
          <w:sz w:val="21"/>
          <w:szCs w:val="21"/>
        </w:rPr>
        <w:t xml:space="preserve">本計画は、第9期計画の基本理念を継承します。</w:t>
      </w:r>
    </w:p>
    <w:p>
      <w:pPr>
        <w:keepNext/>
        <w:keepLines/>
        <w:spacing w:after="100" w:line="300"/>
      </w:pPr>
      <w:r>
        <w:rPr>
          <w:rFonts w:ascii="游ゴシック" w:cs="游ゴシック" w:eastAsia="游ゴシック" w:hAnsi="游ゴシック"/>
          <w:b/>
          <w:bCs/>
          <w:color w:val="2E75B6"/>
          <w:sz w:val="22"/>
          <w:szCs w:val="22"/>
        </w:rPr>
        <w:t xml:space="preserve">「結」のこころを持って支え合う地域共生社会</w:t>
      </w:r>
    </w:p>
    <w:p>
      <w:pPr>
        <w:keepNext/>
        <w:keepLines/>
        <w:spacing w:after="100" w:line="300"/>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基本目標</w:t>
      </w:r>
    </w:p>
    <w:p>
      <w:pPr>
        <w:spacing w:after="120" w:line="300"/>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第10期の重点</w:t>
      </w:r>
    </w:p>
    <w:p>
      <w:pPr>
        <w:spacing w:after="120" w:line="300"/>
      </w:pPr>
      <w:r>
        <w:rPr>
          <w:rFonts w:ascii="游ゴシック" w:cs="游ゴシック" w:eastAsia="游ゴシック" w:hAnsi="游ゴシック"/>
          <w:sz w:val="21"/>
          <w:szCs w:val="21"/>
        </w:rPr>
        <w:t xml:space="preserve">2-11で整理した6つの課題を踏まえ、本計画では次の4点を重点として取り組みます。</w:t>
      </w:r>
    </w:p>
    <w:p>
      <w:pPr>
        <w:keepNext/>
        <w:keepLines/>
        <w:spacing w:after="100" w:line="300"/>
      </w:pPr>
      <w:r>
        <w:rPr>
          <w:rFonts w:ascii="游ゴシック" w:cs="游ゴシック" w:eastAsia="游ゴシック" w:hAnsi="游ゴシック"/>
          <w:b/>
          <w:bCs/>
          <w:color w:val="2E75B6"/>
          <w:sz w:val="22"/>
          <w:szCs w:val="22"/>
        </w:rPr>
        <w:t xml:space="preserve">重点1　軽度の方の重度化を防ぎます</w:t>
      </w:r>
    </w:p>
    <w:p>
      <w:pPr>
        <w:spacing w:after="120" w:line="300"/>
      </w:pPr>
      <w:r>
        <w:rPr>
          <w:rFonts w:ascii="游ゴシック" w:cs="游ゴシック" w:eastAsia="游ゴシック" w:hAnsi="游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令和5年度の決算で事業費の計上なし）。多様なサービスの創設を検討するとともに、通いの場は開催の頻度を高め、一般介護予防事業を拡充します。（課題2に対応）</w:t>
      </w:r>
    </w:p>
    <w:p>
      <w:pPr>
        <w:keepNext/>
        <w:keepLines/>
        <w:spacing w:after="100" w:line="300"/>
      </w:pPr>
      <w:r>
        <w:rPr>
          <w:rFonts w:ascii="游ゴシック" w:cs="游ゴシック" w:eastAsia="游ゴシック" w:hAnsi="游ゴシック"/>
          <w:b/>
          <w:bCs/>
          <w:color w:val="2E75B6"/>
          <w:sz w:val="22"/>
          <w:szCs w:val="22"/>
        </w:rPr>
        <w:t xml:space="preserve">重点2　後期高齢者の増加に備えます</w:t>
      </w:r>
    </w:p>
    <w:p>
      <w:pPr>
        <w:spacing w:after="120" w:line="300"/>
      </w:pPr>
      <w:r>
        <w:rPr>
          <w:rFonts w:ascii="游ゴシック" w:cs="游ゴシック" w:eastAsia="游ゴシック" w:hAnsi="游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keepNext/>
        <w:keepLines/>
        <w:spacing w:after="100" w:line="300"/>
      </w:pPr>
      <w:r>
        <w:rPr>
          <w:rFonts w:ascii="游ゴシック" w:cs="游ゴシック" w:eastAsia="游ゴシック" w:hAnsi="游ゴシック"/>
          <w:b/>
          <w:bCs/>
          <w:color w:val="2E75B6"/>
          <w:sz w:val="22"/>
          <w:szCs w:val="22"/>
        </w:rPr>
        <w:t xml:space="preserve">重点3　冬期の生活と移動を支えます</w:t>
      </w:r>
    </w:p>
    <w:p>
      <w:pPr>
        <w:spacing w:after="120" w:line="300"/>
      </w:pPr>
      <w:r>
        <w:rPr>
          <w:rFonts w:ascii="游ゴシック" w:cs="游ゴシック" w:eastAsia="游ゴシック" w:hAnsi="游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keepNext/>
        <w:keepLines/>
        <w:spacing w:after="100" w:line="300"/>
      </w:pPr>
      <w:r>
        <w:rPr>
          <w:rFonts w:ascii="游ゴシック" w:cs="游ゴシック" w:eastAsia="游ゴシック" w:hAnsi="游ゴシック"/>
          <w:b/>
          <w:bCs/>
          <w:color w:val="2E75B6"/>
          <w:sz w:val="22"/>
          <w:szCs w:val="22"/>
        </w:rPr>
        <w:t xml:space="preserve">重点4　計画を評価し改善する仕組みをつくります</w:t>
      </w:r>
    </w:p>
    <w:p>
      <w:pPr>
        <w:spacing w:after="120" w:line="300"/>
      </w:pPr>
      <w:r>
        <w:rPr>
          <w:rFonts w:ascii="游ゴシック" w:cs="游ゴシック" w:eastAsia="游ゴシック" w:hAnsi="游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施策の体系</w:t>
      </w:r>
    </w:p>
    <w:p>
      <w:r>
        <w:br w:type="page"/>
      </w:r>
    </w:p>
    <w:p>
      <w:pPr>
        <w:keepNext/>
        <w:keepLines/>
        <w:spacing w:after="60" w:before="160"/>
        <w:jc w:val="center"/>
      </w:pPr>
      <w:r>
        <w:drawing>
          <wp:inline distT="0" distB="0" distL="0" distR="0">
            <wp:extent cx="5038725" cy="813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38725" cy="81343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spacing w:after="120" w:line="300"/>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施策体系の対応表</w:t>
      </w:r>
    </w:p>
    <w:p>
      <w:pPr>
        <w:spacing w:after="120" w:line="300"/>
      </w:pPr>
      <w:r>
        <w:rPr>
          <w:rFonts w:ascii="游ゴシック" w:cs="游ゴシック" w:eastAsia="游ゴシック" w:hAnsi="游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2808"/>
        <w:gridCol w:w="1310"/>
        <w:gridCol w:w="1311"/>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主な根拠</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交付金の目標</w:t>
            </w:r>
          </w:p>
        </w:tc>
        <w:tc>
          <w:tcPr>
            <w:tcW w:type="dxa" w:w="13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SDGs</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 一般介護予防事業の拡充</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介保法115条の45第1項第3号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 地域支え合い活動の促進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 居宅サービスの確保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 介護給付の適正化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 地域ケア会議の充実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介保法115条の48（会議）</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 在宅医療・介護連携の推進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 生活支援体制の整備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成年後見促進法14条1項（市町村計画）／介保法115条の45第2項第2号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介保法122条の2（交付金）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599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本計画との関わり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基本目標1　健康づくりと介護予防施策の充実・推進【最重点】</w:t>
      </w:r>
    </w:p>
    <w:p>
      <w:pPr>
        <w:spacing w:after="120" w:line="300"/>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施策1-1　通いの場の開催頻度の向上と地区差の是正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令和6年度の通いの場は23か所・参加者281人（参加率27.8%）、うち週1回以上の開催は8か所・123人（同12.2%）です（2-6）。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施策1-2　総合事業における多様なサービスの創設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本村の実情に適した多様なサービスの類型を検討します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pPr>
      <w:r>
        <w:rPr>
          <w:rFonts w:ascii="游ゴシック" w:cs="游ゴシック" w:eastAsia="游ゴシック" w:hAnsi="游ゴシック"/>
          <w:sz w:val="20"/>
          <w:szCs w:val="20"/>
        </w:rPr>
        <w:t xml:space="preserve">社会福祉法人・医療法人・NPO・民間事業者等との連携を進めます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施策1-3　一般介護予防事業の拡充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施策1-4　介護予防におけるデータ活用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施策1-5　地域リハビリテーション活動支援事業の推進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施策1-6　高齢者の保健事業と介護予防の一体的実施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基本目標2　安心で自分らしい生活支援の充実</w:t>
      </w:r>
    </w:p>
    <w:p>
      <w:pPr>
        <w:spacing w:after="120" w:line="300"/>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施策2-1　高齢者の移動に関する支援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高齢者の移動に関する課題を体系的に把握します。認知症の方の移動のための交通手段の確保という観点を加えます（認知症基本法第15条）</w:t>
      </w:r>
    </w:p>
    <w:p>
      <w:pPr>
        <w:pStyle w:val="ListParagraph"/>
        <w:numPr>
          <w:ilvl w:val="0"/>
          <w:numId w:val="2"/>
        </w:numPr>
        <w:spacing w:after="60" w:line="300"/>
      </w:pPr>
      <w:r>
        <w:rPr>
          <w:rFonts w:ascii="游ゴシック" w:cs="游ゴシック" w:eastAsia="游ゴシック" w:hAnsi="游ゴシック"/>
          <w:sz w:val="20"/>
          <w:szCs w:val="20"/>
        </w:rPr>
        <w:t xml:space="preserve">介護予防・生活支援サービス事業による移動支援の創設を検討します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評価指標（令和5年度まで）</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施策2-2　社会参加の促進とインセンティブの検討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施策2-3　住まいの安定的な確保と生活困難者支援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施策2-4　日常生活の安全確保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pPr>
      <w:r>
        <w:rPr>
          <w:rFonts w:ascii="游ゴシック" w:cs="游ゴシック" w:eastAsia="游ゴシック" w:hAnsi="游ゴシック"/>
          <w:sz w:val="20"/>
          <w:szCs w:val="20"/>
        </w:rPr>
        <w:t xml:space="preserve">特殊詐欺・消費者被害の防止に向けた啓発を行います。認知症の方が消費生活における被害を受けることを防ぐ観点を加えます（認知症基本法第17条）</w:t>
      </w:r>
    </w:p>
    <w:p>
      <w:pPr>
        <w:pStyle w:val="ListParagraph"/>
        <w:numPr>
          <w:ilvl w:val="0"/>
          <w:numId w:val="2"/>
        </w:numPr>
        <w:spacing w:after="60" w:line="300"/>
      </w:pPr>
      <w:r>
        <w:rPr>
          <w:rFonts w:ascii="游ゴシック" w:cs="游ゴシック" w:eastAsia="游ゴシック" w:hAnsi="游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施策2-5　地域支え合い活動の促進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第9期の調査では「地域・近所の見守り、声かけ」を必要と感じる方が10.4%あり、今後必要と感じる支援の第2位以下に入っています（2-10）。村単独事業として老人クラブの活動を支援していますが、会員数の推移は把握できていないため、村への照会のうえ記載します（4-6(2)）。生活支援コーディネーターと第2層協議体による体制の整備は施策4-5で扱います。本施策は、その体制の上で住民が行う支え合いの活動そのものを促すことを目的と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住民による見守り・声かけの活動を支援します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老人クラブの活動を支援し、参加の機会を広げます</w:t>
      </w:r>
    </w:p>
    <w:p>
      <w:pPr>
        <w:pStyle w:val="ListParagraph"/>
        <w:numPr>
          <w:ilvl w:val="0"/>
          <w:numId w:val="2"/>
        </w:numPr>
        <w:spacing w:after="60" w:line="300"/>
      </w:pPr>
      <w:r>
        <w:rPr>
          <w:rFonts w:ascii="游ゴシック" w:cs="游ゴシック" w:eastAsia="游ゴシック" w:hAnsi="游ゴシック"/>
          <w:sz w:val="20"/>
          <w:szCs w:val="20"/>
        </w:rPr>
        <w:t xml:space="preserve">ボランティアネットワークの整備を促進します</w:t>
      </w:r>
    </w:p>
    <w:p>
      <w:pPr>
        <w:pStyle w:val="ListParagraph"/>
        <w:numPr>
          <w:ilvl w:val="0"/>
          <w:numId w:val="2"/>
        </w:numPr>
        <w:spacing w:after="60" w:line="300"/>
      </w:pPr>
      <w:r>
        <w:rPr>
          <w:rFonts w:ascii="游ゴシック" w:cs="游ゴシック" w:eastAsia="游ゴシック" w:hAnsi="游ゴシック"/>
          <w:sz w:val="20"/>
          <w:szCs w:val="20"/>
        </w:rPr>
        <w:t xml:space="preserve">第2層協議体が把握した地域の課題を、住民の活動に結びつけます（施策4-5）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施策2-6　冬期の生活支援（除雪）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今後必要と感じる支援の第1位は「除雪」で、要介護認定を受けている方でも同じ傾向にあります（2-10・2-11）。ひとり暮らし高齢者世帯等除雪サービス事業を実施していますが、第9期計画では「在宅生活の継続支援」の一部として扱われ、独立した施策としては位置づけられていませんでした。</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pPr>
      <w:r>
        <w:rPr>
          <w:rFonts w:ascii="游ゴシック" w:cs="游ゴシック" w:eastAsia="游ゴシック" w:hAnsi="游ゴシック"/>
          <w:sz w:val="20"/>
          <w:szCs w:val="20"/>
        </w:rPr>
        <w:t xml:space="preserve">除雪の担い手の確保に取り組みます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基本目標3　質の高い介護サービスの充実</w:t>
      </w:r>
    </w:p>
    <w:p>
      <w:pPr>
        <w:spacing w:after="120" w:line="300"/>
      </w:pPr>
      <w:r>
        <w:rPr>
          <w:rFonts w:ascii="游ゴシック" w:cs="游ゴシック" w:eastAsia="游ゴシック" w:hAnsi="游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pPr>
      <w:r>
        <w:rPr>
          <w:rFonts w:ascii="游ゴシック" w:cs="游ゴシック" w:eastAsia="游ゴシック" w:hAnsi="游ゴシック"/>
          <w:sz w:val="21"/>
          <w:szCs w:val="21"/>
        </w:rPr>
        <w:t xml:space="preserve">見込量は需要により置くことを原則とし、村内に事業所がないことを理由に減らすことはしません（5-4）。ただし地域密着型サービスと介護予防・日常生活支援総合事業の2つは、村の判断が供給の上限になります。施策3-2と施策1-2は、この2つについての村の判断を示すものです。</w:t>
      </w:r>
    </w:p>
    <w:p>
      <w:pPr>
        <w:spacing w:after="120" w:line="300"/>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施策3-1　居宅サービスの確保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-5）。訪問介護・訪問看護等の担い手の確保が課題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福祉用具貸与・住宅改修についてリハビリテーション専門職が関与する仕組みを継続します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施策3-2　地域密着型サービスの維持と定員の検討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2年間で132人から161人へ22.0%増えており（2-3）、グループホームの村内定員に対する到達率は令和8年度に96.3%で、計画期間は満床の見込みです（5-4(5)）。また認知症対応型通所介護は平成30年度を最後に実績がありません。地域密着型サービスは村の指定によりはじめて提供されるため、定員と類型の設定は村の判断によります（5-4(8)）。</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施策3-3　村外施設サービスの利用支援　【改称】</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-10）。第9期計画は施設の種類を列挙する記載でしたが、本計画では村外利用を前提とした支援策として位置づけ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施策3-4　短期入所サービスの確保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家族介護者の負担感（在宅介護実態調査）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施策3-5　介護給付の適正化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5期介護給付適正化計画（令和6年度〜令和8年度）からは、①要介護認定の適正化、②ケアプラン等の点検、③縦覧点検・医療情報との突合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主要3事業（要介護認定の適正化・ケアプラン等の点検・縦覧点検／医療情報との突合）をすべて継続して実施します</w:t>
      </w:r>
    </w:p>
    <w:p>
      <w:pPr>
        <w:pStyle w:val="ListParagraph"/>
        <w:numPr>
          <w:ilvl w:val="0"/>
          <w:numId w:val="2"/>
        </w:numPr>
        <w:spacing w:after="60" w:line="300"/>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基本目標4　地域で支えあう仕組みづくり</w:t>
      </w:r>
    </w:p>
    <w:p>
      <w:pPr>
        <w:spacing w:after="120" w:line="300"/>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施策4-1　地域包括支援センターの機能強化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3職種の配置は整っています（2-6）。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家族等の介護離職防止に向けた支援に取り組みます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施策4-2　地域ケア会議の充実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施策4-3　在宅医療・介護連携の推進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在宅医療と介護の提供体制の目指すべき姿</w:t>
      </w:r>
    </w:p>
    <w:p>
      <w:pPr>
        <w:spacing w:after="120" w:line="300"/>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目指す姿と現状の差から抽出した課題と対応策</w:t>
      </w:r>
    </w:p>
    <w:p>
      <w:pPr>
        <w:spacing w:after="120" w:line="300"/>
      </w:pPr>
      <w:r>
        <w:rPr>
          <w:rFonts w:ascii="游ゴシック" w:cs="游ゴシック" w:eastAsia="游ゴシック" w:hAnsi="游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施策4-4　認知症施策の推進　【継続・強化】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4-4）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6年10月末の161人へ2年間で22.0%増えています（2-3）。</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施策4-5　生活支援体制の整備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施策4-6　介護人材の確保と生産性向上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文書負担軽減に係る取組を進めます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施策4-7　成年後見制度の利用促進　【継続・強化】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支援事業の実施要綱について、助成の対象を市町村長申立てによる場合や生活保護を受給している方に限定しない内容に改めます。国の評価指標はこの要綱の整備を求めており（4点・全国の78.1%が取得、福島県内では46位）、新たな予算を要さずに権利擁護支援の対象を広げられ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0点／4点（要綱の内容は【要確認】）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対象を限定しない内容に改正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基本目標5　計画の推進と進捗管理【新設】</w:t>
      </w:r>
    </w:p>
    <w:p>
      <w:pPr>
        <w:spacing w:after="120" w:line="300"/>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高齢者福祉サービスの量の目標</w:t>
      </w:r>
    </w:p>
    <w:p>
      <w:pPr>
        <w:spacing w:after="120" w:line="300"/>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本節は、介護保険給付によらない高齢者福祉サービスについて、第10期に確保する量の目標を示すものです。取組の内容は基本目標2および基本目標4の各施策に記載しています。</w:t>
      </w:r>
    </w:p>
    <w:p>
      <w:pPr>
        <w:keepNext/>
        <w:keepLines/>
        <w:spacing w:after="100" w:line="300"/>
      </w:pPr>
      <w:r>
        <w:rPr>
          <w:rFonts w:ascii="游ゴシック" w:cs="游ゴシック" w:eastAsia="游ゴシック" w:hAnsi="游ゴシック"/>
          <w:b/>
          <w:bCs/>
          <w:color w:val="2E75B6"/>
          <w:sz w:val="22"/>
          <w:szCs w:val="22"/>
        </w:rPr>
        <w:t xml:space="preserve">(1)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749"/>
        <w:gridCol w:w="1030"/>
        <w:gridCol w:w="749"/>
        <w:gridCol w:w="749"/>
        <w:gridCol w:w="749"/>
        <w:gridCol w:w="3088"/>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308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確保の方策</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養護老人ホーム（措置）</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村外施設への措置により確保</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軽費老人ホーム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村外施設の利用により確保</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生活支援ハウス</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村内施設の運営を継続</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(2) 在宅福祉サービス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1030"/>
        <w:gridCol w:w="749"/>
        <w:gridCol w:w="749"/>
        <w:gridCol w:w="749"/>
        <w:gridCol w:w="2058"/>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確保の方策（該当施策）</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村の委託により現在の体制を維持する。利用の増加には介護予防・生活支援サービス事業の活用を検討する（施策2-3）</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緊急通報システム</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ひとり暮らし高齢者等への設置を継続する。避難行動要支援者名簿の整備とあわせて対象を把握する（施策2-4）</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世帯／年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ひとり暮らし高齢者世帯等除雪サービス事業の対象要件と実施体制を検証し、住民互助・シルバー人材センターとの役割分担を整理する。担い手の確保が制約となる（施策2-6）</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公共交通担当部局と連携し、介護予防・生活支援サービス事業による移動支援の創設を検討する。認知症の方の交通手段の確保を含む（施策2-1）</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現在の体制を維持する。認知症の方のご家族への支援とあわせて周知する（施策4-4）</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介護用品の支給</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現在の支給要件を維持する（施策4-4）</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多様な学習機会を確保する。通いの場（施策1-1）との役割分担を整理する（施策2-2）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高齢者の就労・雇用の機会の確保に取り組む。除雪・生活支援の担い手としての役割も担う（施策2-2・施策2-6）</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老人クラブ（会員数）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ボランティアネットワークの整備とあわせて活動を支援する（施策2-5）。地区の課題の把握は第2層協議体による（施策4-5）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基本目標2の各施策に記載しています。</w:t>
      </w:r>
    </w:p>
    <w:p>
      <w:pPr>
        <w:spacing w:after="120" w:line="300"/>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管理番号25〜39）。目標値は実績の確定後に設定します。本節の配置については、第9期計画における老人福祉事業の量の目標の記載位置を確認のうえ、村と協議して確定します。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4-7　認知症施策推進計画としての位置づけ</w:t>
      </w:r>
    </w:p>
    <w:p>
      <w:pPr>
        <w:spacing w:after="120" w:line="300"/>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pPr>
      <w:r>
        <w:rPr>
          <w:rFonts w:ascii="游ゴシック" w:cs="游ゴシック" w:eastAsia="游ゴシック" w:hAnsi="游ゴシック"/>
          <w:b/>
          <w:bCs/>
          <w:color w:val="2E75B6"/>
          <w:sz w:val="22"/>
          <w:szCs w:val="22"/>
        </w:rPr>
        <w:t xml:space="preserve">(1) 法が市町村に求めていること</w:t>
      </w:r>
    </w:p>
    <w:p>
      <w:pPr>
        <w:spacing w:after="120" w:line="300"/>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1-4のとおり整合を図ります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(5)(6)のとおり</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pPr>
      <w:r>
        <w:rPr>
          <w:rFonts w:ascii="游ゴシック" w:cs="游ゴシック" w:eastAsia="游ゴシック" w:hAnsi="游ゴシック"/>
          <w:b/>
          <w:bCs/>
          <w:color w:val="2E75B6"/>
          <w:sz w:val="22"/>
          <w:szCs w:val="22"/>
        </w:rPr>
        <w:t xml:space="preserve">(2) 3つの基本的な考え方</w:t>
      </w:r>
    </w:p>
    <w:p>
      <w:pPr>
        <w:spacing w:after="120" w:line="300"/>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施策4-4（サポーター養成・普及啓発）</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施策2-1（移動）・施策2-4（見守り）・施策4-4</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施策2-2（社会参加）・施策4-4（チームオレンジ）</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施策4-7（成年後見）・施策2-4（消費者被害の防止）</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w:t>
      </w:r>
    </w:p>
    <w:p>
      <w:pPr>
        <w:spacing w:after="120" w:line="300"/>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pPr>
      <w:r>
        <w:rPr>
          <w:rFonts w:ascii="游ゴシック" w:cs="游ゴシック" w:eastAsia="游ゴシック" w:hAnsi="游ゴシック"/>
          <w:b/>
          <w:bCs/>
          <w:color w:val="2E75B6"/>
          <w:sz w:val="22"/>
          <w:szCs w:val="22"/>
        </w:rPr>
        <w:t xml:space="preserve">(4) 認知症の日および認知症月間</w:t>
      </w:r>
    </w:p>
    <w:p>
      <w:pPr>
        <w:spacing w:after="120" w:line="300"/>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pPr>
      <w:r>
        <w:rPr>
          <w:rFonts w:ascii="游ゴシック" w:cs="游ゴシック" w:eastAsia="游ゴシック" w:hAnsi="游ゴシック"/>
          <w:sz w:val="21"/>
          <w:szCs w:val="21"/>
        </w:rPr>
        <w:t xml:space="preserve">本村では、認知症の日および認知症月間に合わせた取組を行っていません。普及啓発（施策4-4）を進める機会として、9月の取組を計画に位置づけます。</w:t>
      </w:r>
    </w:p>
    <w:p>
      <w:pPr>
        <w:keepNext/>
        <w:keepLines/>
        <w:spacing w:after="100" w:line="300"/>
      </w:pPr>
      <w:r>
        <w:rPr>
          <w:rFonts w:ascii="游ゴシック" w:cs="游ゴシック" w:eastAsia="游ゴシック" w:hAnsi="游ゴシック"/>
          <w:b/>
          <w:bCs/>
          <w:color w:val="2E75B6"/>
          <w:sz w:val="22"/>
          <w:szCs w:val="22"/>
        </w:rPr>
        <w:t xml:space="preserve">(5) 認知症の人および家族等の参画</w:t>
      </w:r>
    </w:p>
    <w:p>
      <w:pPr>
        <w:spacing w:after="120" w:line="300"/>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変更のつど</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pPr>
      <w:r>
        <w:rPr>
          <w:rFonts w:ascii="游ゴシック" w:cs="游ゴシック" w:eastAsia="游ゴシック" w:hAnsi="游ゴシック"/>
          <w:b/>
          <w:bCs/>
          <w:color w:val="2E75B6"/>
          <w:sz w:val="22"/>
          <w:szCs w:val="22"/>
        </w:rPr>
        <w:t xml:space="preserve">(6) 施策の実施状況の評価と公表</w:t>
      </w:r>
    </w:p>
    <w:p>
      <w:pPr>
        <w:spacing w:after="120" w:line="300"/>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161人（令和6年10月末）。2年間で22.0%増</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国の評価指標における認知症総合支援（支援交付金 目標Ⅱ）は32点／100点で、8つの目標のうち全国平均との差が最も大きい領域です（2-8・4-4）。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059"/>
        <w:gridCol w:w="1872"/>
        <w:gridCol w:w="1685"/>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問9(2)</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全国平均51.1点以上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推計の考え方</w:t>
      </w:r>
    </w:p>
    <w:p>
      <w:pPr>
        <w:spacing w:after="120" w:line="300"/>
      </w:pPr>
      <w:r>
        <w:rPr>
          <w:rFonts w:ascii="游ゴシック" w:cs="游ゴシック" w:eastAsia="游ゴシック" w:hAnsi="游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keepNext/>
        <w:keepLines/>
        <w:spacing w:after="100" w:line="300"/>
      </w:pPr>
      <w:r>
        <w:rPr>
          <w:rFonts w:ascii="游ゴシック" w:cs="游ゴシック" w:eastAsia="游ゴシック" w:hAnsi="游ゴシック"/>
          <w:b/>
          <w:bCs/>
          <w:color w:val="2E75B6"/>
          <w:sz w:val="22"/>
          <w:szCs w:val="22"/>
        </w:rPr>
        <w:t xml:space="preserve">用いる人口の系列</w:t>
      </w:r>
    </w:p>
    <w:p>
      <w:pPr>
        <w:spacing w:after="120" w:line="300"/>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第9期計画は国勢調査ベースの将来推計人口をそのまま用いたため、第1号被保険者数を実績より6.6%少なく見込む結果となりました（2-9）。</w:t>
      </w:r>
    </w:p>
    <w:p>
      <w:pPr>
        <w:keepNext/>
        <w:keepLines/>
        <w:spacing w:after="100" w:line="300"/>
      </w:pPr>
      <w:r>
        <w:rPr>
          <w:rFonts w:ascii="游ゴシック" w:cs="游ゴシック" w:eastAsia="游ゴシック" w:hAnsi="游ゴシック"/>
          <w:b/>
          <w:bCs/>
          <w:color w:val="2E75B6"/>
          <w:sz w:val="22"/>
          <w:szCs w:val="22"/>
        </w:rPr>
        <w:t xml:space="preserve">第1号被保険者数（★第9期からの変更点）</w:t>
      </w:r>
    </w:p>
    <w:p>
      <w:pPr>
        <w:spacing w:after="120" w:line="300"/>
      </w:pPr>
      <w:r>
        <w:rPr>
          <w:rFonts w:ascii="游ゴシック" w:cs="游ゴシック" w:eastAsia="游ゴシック" w:hAnsi="游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pPr>
      <w:r>
        <w:rPr>
          <w:rFonts w:ascii="游ゴシック" w:cs="游ゴシック" w:eastAsia="游ゴシック" w:hAnsi="游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pPr>
      <w:r>
        <w:rPr>
          <w:rFonts w:ascii="游ゴシック" w:cs="游ゴシック" w:eastAsia="游ゴシック" w:hAnsi="游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keepNext/>
        <w:keepLines/>
        <w:spacing w:after="100" w:line="300"/>
      </w:pPr>
      <w:r>
        <w:rPr>
          <w:rFonts w:ascii="游ゴシック" w:cs="游ゴシック" w:eastAsia="游ゴシック" w:hAnsi="游ゴシック"/>
          <w:b/>
          <w:bCs/>
          <w:color w:val="2E75B6"/>
          <w:sz w:val="22"/>
          <w:szCs w:val="22"/>
        </w:rPr>
        <w:t xml:space="preserve">参考　国勢調査ベースの推計による算定</w:t>
      </w:r>
    </w:p>
    <w:p>
      <w:pPr>
        <w:spacing w:after="120" w:line="300"/>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1.0716</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要支援・要介護認定者数</w:t>
      </w:r>
    </w:p>
    <w:p>
      <w:pPr>
        <w:spacing w:after="120" w:line="300"/>
      </w:pPr>
      <w:r>
        <w:rPr>
          <w:rFonts w:ascii="游ゴシック" w:cs="游ゴシック" w:eastAsia="游ゴシック" w:hAnsi="游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-3に併記します。3か年計で22人（3.4%）の差があり、原因は認定率の置き方です（5-3）。第9期計画では合計での検証のみであったため、要支援1が36%過少、要介護4が39%過大という乖離が生じても把握できませんでした（2-9）。本計画では要介護度別に算定し、毎年度検証します。</w:t>
      </w:r>
    </w:p>
    <w:p>
      <w:pPr>
        <w:keepNext/>
        <w:keepLines/>
        <w:spacing w:after="100" w:line="300"/>
      </w:pPr>
      <w:r>
        <w:rPr>
          <w:rFonts w:ascii="游ゴシック" w:cs="游ゴシック" w:eastAsia="游ゴシック" w:hAnsi="游ゴシック"/>
          <w:b/>
          <w:bCs/>
          <w:color w:val="2E75B6"/>
          <w:sz w:val="22"/>
          <w:szCs w:val="22"/>
        </w:rPr>
        <w:t xml:space="preserve">サービス見込量・給付費</w:t>
      </w:r>
    </w:p>
    <w:p>
      <w:pPr>
        <w:spacing w:after="120" w:line="300"/>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出力は令和8年10月に提供を受けました。以下5-2から5-7は、その値を正として記載しています。ただし本村から、福祉用具購入費・住宅改修費および令和9年4月に新設されるサービスが0で入っていること、全体として暫定の数値であることの申し送りを受けています。該当する項目は5-12に一覧化しています。当方が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第1号被保険者数の見込み</w:t>
      </w:r>
    </w:p>
    <w:p>
      <w:pPr>
        <w:spacing w:after="120" w:line="300"/>
      </w:pPr>
      <w:r>
        <w:rPr>
          <w:rFonts w:ascii="游ゴシック" w:cs="游ゴシック" w:eastAsia="游ゴシック" w:hAnsi="游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1,009</w:t>
            </w:r>
          </w:p>
        </w:tc>
      </w:tr>
    </w:tbl>
    <w:p>
      <w:pPr>
        <w:spacing w:after="160" w:line="300"/>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うち75〜84歳</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うち85歳以上</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12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pPr>
      <w:r>
        <w:rPr>
          <w:rFonts w:ascii="游ゴシック" w:cs="游ゴシック" w:eastAsia="游ゴシック" w:hAnsi="游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-3）。</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keepNext/>
        <w:keepLines/>
        <w:spacing w:after="100" w:line="300"/>
      </w:pPr>
      <w:r>
        <w:rPr>
          <w:rFonts w:ascii="游ゴシック" w:cs="游ゴシック" w:eastAsia="游ゴシック" w:hAnsi="游ゴシック"/>
          <w:b/>
          <w:bCs/>
          <w:color w:val="2E75B6"/>
          <w:sz w:val="22"/>
          <w:szCs w:val="22"/>
        </w:rPr>
        <w:t xml:space="preserve">推計の検証　当方の算定との突合</w:t>
      </w:r>
    </w:p>
    <w:p>
      <w:pPr>
        <w:spacing w:after="120" w:line="300"/>
      </w:pPr>
      <w:r>
        <w:rPr>
          <w:rFonts w:ascii="游ゴシック" w:cs="游ゴシック" w:eastAsia="游ゴシック" w:hAnsi="游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要支援・要介護認定者数の見込み</w:t>
      </w:r>
    </w:p>
    <w:p>
      <w:pPr>
        <w:spacing w:after="120" w:line="300"/>
      </w:pPr>
      <w:r>
        <w:rPr>
          <w:rFonts w:ascii="游ゴシック" w:cs="游ゴシック" w:eastAsia="游ゴシック" w:hAnsi="游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936"/>
        <w:gridCol w:w="936"/>
        <w:gridCol w:w="936"/>
        <w:gridCol w:w="936"/>
        <w:gridCol w:w="936"/>
        <w:gridCol w:w="936"/>
        <w:gridCol w:w="936"/>
        <w:gridCol w:w="842"/>
        <w:gridCol w:w="656"/>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c>
          <w:tcPr>
            <w:tcW w:type="dxa" w:w="65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w:t>
            </w:r>
          </w:p>
        </w:tc>
        <w:tc>
          <w:tcPr>
            <w:tcW w:type="dxa" w:w="6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6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206</w:t>
            </w:r>
          </w:p>
        </w:tc>
        <w:tc>
          <w:tcPr>
            <w:tcW w:type="dxa" w:w="6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20.4%</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6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6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c>
          <w:tcPr>
            <w:tcW w:type="dxa" w:w="6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209</w:t>
            </w:r>
          </w:p>
        </w:tc>
        <w:tc>
          <w:tcPr>
            <w:tcW w:type="dxa" w:w="6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w:t>
            </w:r>
          </w:p>
        </w:tc>
        <w:tc>
          <w:tcPr>
            <w:tcW w:type="dxa" w:w="6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6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pPr>
      <w:r>
        <w:rPr>
          <w:rFonts w:ascii="游ゴシック" w:cs="游ゴシック" w:eastAsia="游ゴシック" w:hAnsi="游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pPr>
      <w:r>
        <w:rPr>
          <w:rFonts w:ascii="游ゴシック" w:cs="游ゴシック" w:eastAsia="游ゴシック" w:hAnsi="游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-2・施策3-1）。</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keepNext/>
        <w:keepLines/>
        <w:spacing w:after="100" w:line="300"/>
      </w:pPr>
      <w:r>
        <w:rPr>
          <w:rFonts w:ascii="游ゴシック" w:cs="游ゴシック" w:eastAsia="游ゴシック" w:hAnsi="游ゴシック"/>
          <w:b/>
          <w:bCs/>
          <w:color w:val="2E75B6"/>
          <w:sz w:val="22"/>
          <w:szCs w:val="22"/>
        </w:rPr>
        <w:t xml:space="preserve">推計の検証　当方の算定との突合</w:t>
      </w:r>
    </w:p>
    <w:p>
      <w:pPr>
        <w:spacing w:after="120" w:line="300"/>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808"/>
        <w:gridCol w:w="3744"/>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123"/>
        <w:gridCol w:w="1123"/>
        <w:gridCol w:w="1123"/>
        <w:gridCol w:w="1030"/>
        <w:gridCol w:w="1966"/>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3か年計</w:t>
            </w:r>
          </w:p>
        </w:tc>
        <w:tc>
          <w:tcPr>
            <w:tcW w:type="dxa" w:w="196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629</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②の保険料への効きは、認定者数が＋3.5%の上振れであれば給付費もおおむね同じ割合で上振れすると置き、5-7の感応度（給付費1%の上振れが月額59円）により換算したものです。</w:t>
      </w:r>
    </w:p>
    <w:p>
      <w:pPr>
        <w:spacing w:after="120" w:line="300"/>
      </w:pPr>
      <w:r>
        <w:rPr>
          <w:rFonts w:ascii="游ゴシック" w:cs="游ゴシック" w:eastAsia="游ゴシック" w:hAnsi="游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認定者数は以降のサービス見込量・給付費・保険料のすべての基礎になるため、差が生じた場合は要介護度別に原因を特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介護サービス見込量</w:t>
      </w:r>
    </w:p>
    <w:p>
      <w:pPr>
        <w:spacing w:after="120" w:line="300"/>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keepNext/>
        <w:keepLines/>
        <w:spacing w:after="100" w:line="300"/>
      </w:pPr>
      <w:r>
        <w:rPr>
          <w:rFonts w:ascii="游ゴシック" w:cs="游ゴシック" w:eastAsia="游ゴシック" w:hAnsi="游ゴシック"/>
          <w:b/>
          <w:bCs/>
          <w:color w:val="2E75B6"/>
          <w:sz w:val="22"/>
          <w:szCs w:val="22"/>
        </w:rPr>
        <w:t xml:space="preserve">基準年度とデータの月数</w:t>
      </w:r>
    </w:p>
    <w:p>
      <w:pPr>
        <w:spacing w:after="120" w:line="300"/>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1404"/>
        <w:gridCol w:w="1404"/>
        <w:gridCol w:w="2059"/>
        <w:gridCol w:w="1123"/>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11か月（令和8年3月が欠測）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月次の推移を見る図に用いる</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D2・D3・D4（区分別受給者数／年度）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受給率の算定に用いる（÷12で月平均）</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D32系（サービス種類別／年度）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keepNext/>
        <w:keepLines/>
        <w:spacing w:after="100" w:line="300"/>
      </w:pPr>
      <w:r>
        <w:rPr>
          <w:rFonts w:ascii="游ゴシック" w:cs="游ゴシック" w:eastAsia="游ゴシック" w:hAnsi="游ゴシック"/>
          <w:b/>
          <w:bCs/>
          <w:color w:val="2E75B6"/>
          <w:sz w:val="22"/>
          <w:szCs w:val="22"/>
        </w:rPr>
        <w:t xml:space="preserve">利用率の分母</w:t>
      </w:r>
    </w:p>
    <w:p>
      <w:pPr>
        <w:spacing w:after="120" w:line="300"/>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ワークシートを受領した時点で、ツールが求める分母を確認したうえで入力します。</w:t>
      </w:r>
    </w:p>
    <w:p>
      <w:pPr>
        <w:keepNext/>
        <w:keepLines/>
        <w:spacing w:after="100" w:line="300"/>
      </w:pPr>
      <w:r>
        <w:rPr>
          <w:rFonts w:ascii="游ゴシック" w:cs="游ゴシック" w:eastAsia="游ゴシック" w:hAnsi="游ゴシック"/>
          <w:b/>
          <w:bCs/>
          <w:color w:val="2E75B6"/>
          <w:sz w:val="22"/>
          <w:szCs w:val="22"/>
        </w:rPr>
        <w:t xml:space="preserve">算定の対象とするサービス</w:t>
      </w:r>
    </w:p>
    <w:p>
      <w:pPr>
        <w:spacing w:after="120" w:line="300"/>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(1) 居宅サービス</w:t>
      </w:r>
    </w:p>
    <w:p>
      <w:pPr>
        <w:spacing w:after="120" w:line="300"/>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keepNext/>
        <w:keepLines/>
        <w:spacing w:after="100" w:line="300"/>
      </w:pPr>
      <w:r>
        <w:rPr>
          <w:rFonts w:ascii="游ゴシック" w:cs="游ゴシック" w:eastAsia="游ゴシック" w:hAnsi="游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令和5年度から令和7年度まで実績がないため、統合による見込量への影響はありません。</w:t>
      </w:r>
    </w:p>
    <w:p>
      <w:pPr>
        <w:keepNext/>
        <w:keepLines/>
        <w:spacing w:after="100" w:line="300"/>
      </w:pPr>
      <w:r>
        <w:rPr>
          <w:rFonts w:ascii="游ゴシック" w:cs="游ゴシック" w:eastAsia="游ゴシック" w:hAnsi="游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R8</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pPr>
      <w:r>
        <w:rPr>
          <w:rFonts w:ascii="游ゴシック" w:cs="游ゴシック" w:eastAsia="游ゴシック" w:hAnsi="游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-4(5)）。</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施設種類別の人数は、村が県に提出した整備量見込みシートの値に置き換えました。それまでは「見える化」システムに系列がないため区分別の受給者数を給付費の構成比で按分した参考値を用いていました。按分の値（令和6年度 介護老人福祉施設14.1人・介護老人保健施設15.9人・介護医療院1.2人）は県シートの値（15人・16人・1人）と四捨五入の範囲で一致しており、按分の方法は妥当でした。</w:t>
      </w:r>
    </w:p>
    <w:p>
      <w:pPr>
        <w:spacing w:after="120" w:line="300"/>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keepNext/>
        <w:keepLines/>
        <w:spacing w:after="100" w:line="300"/>
      </w:pPr>
      <w:r>
        <w:rPr>
          <w:rFonts w:ascii="游ゴシック" w:cs="游ゴシック" w:eastAsia="游ゴシック" w:hAnsi="游ゴシック"/>
          <w:b/>
          <w:bCs/>
          <w:color w:val="2E75B6"/>
          <w:sz w:val="22"/>
          <w:szCs w:val="22"/>
        </w:rPr>
        <w:t xml:space="preserve">(4) 令和9年4月に新設される区分</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keepNext/>
        <w:keepLines/>
        <w:spacing w:after="100" w:line="300"/>
      </w:pPr>
      <w:r>
        <w:rPr>
          <w:rFonts w:ascii="游ゴシック" w:cs="游ゴシック" w:eastAsia="游ゴシック" w:hAnsi="游ゴシック"/>
          <w:b/>
          <w:bCs/>
          <w:color w:val="2E75B6"/>
          <w:sz w:val="22"/>
          <w:szCs w:val="22"/>
        </w:rPr>
        <w:t xml:space="preserve">(5) 供給の制約</w:t>
      </w:r>
    </w:p>
    <w:p>
      <w:pPr>
        <w:spacing w:after="120" w:line="300"/>
      </w:pPr>
      <w:r>
        <w:rPr>
          <w:rFonts w:ascii="游ゴシック" w:cs="游ゴシック" w:eastAsia="游ゴシック" w:hAnsi="游ゴシック"/>
          <w:sz w:val="21"/>
          <w:szCs w:val="21"/>
        </w:rPr>
        <w:t xml:space="preserve">村内で定員が定められているサービスは、認知症対応型共同生活介護（定員27人）と通所介護（定員50人）の2種類です（2-5）。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R8</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pPr>
      <w:r>
        <w:rPr>
          <w:rFonts w:ascii="游ゴシック" w:cs="游ゴシック" w:eastAsia="游ゴシック" w:hAnsi="游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-4(8)・施策3-2）。</w:t>
      </w:r>
    </w:p>
    <w:p>
      <w:pPr>
        <w:spacing w:after="120" w:line="300"/>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keepNext/>
        <w:keepLines/>
        <w:spacing w:after="100" w:line="300"/>
      </w:pPr>
      <w:r>
        <w:rPr>
          <w:rFonts w:ascii="游ゴシック" w:cs="游ゴシック" w:eastAsia="游ゴシック" w:hAnsi="游ゴシック"/>
          <w:b/>
          <w:bCs/>
          <w:color w:val="2E75B6"/>
          <w:sz w:val="22"/>
          <w:szCs w:val="22"/>
        </w:rPr>
        <w:t xml:space="preserve">(6) 見込量の自己点検</w:t>
      </w:r>
    </w:p>
    <w:p>
      <w:pPr>
        <w:spacing w:after="120" w:line="300"/>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pPr>
      <w:r>
        <w:rPr>
          <w:rFonts w:ascii="游ゴシック" w:cs="游ゴシック" w:eastAsia="游ゴシック" w:hAnsi="游ゴシック"/>
          <w:sz w:val="21"/>
          <w:szCs w:val="21"/>
        </w:rPr>
        <w:t xml:space="preserve">　閾値　＝　Q1 － 2×（Q3－Q1）　から　Q3 ＋ 2×（Q3－Q1）　まで</w:t>
      </w:r>
    </w:p>
    <w:p>
      <w:pPr>
        <w:spacing w:after="120" w:line="300"/>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keepNext/>
        <w:keepLines/>
        <w:spacing w:after="100" w:line="300"/>
      </w:pPr>
      <w:r>
        <w:rPr>
          <w:rFonts w:ascii="游ゴシック" w:cs="游ゴシック" w:eastAsia="游ゴシック" w:hAnsi="游ゴシック"/>
          <w:b/>
          <w:bCs/>
          <w:color w:val="2E75B6"/>
          <w:sz w:val="22"/>
          <w:szCs w:val="22"/>
        </w:rPr>
        <w:t xml:space="preserve">(7) 介護給付と予防給付の区分</w:t>
      </w:r>
    </w:p>
    <w:p>
      <w:pPr>
        <w:spacing w:after="120" w:line="300"/>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keepNext/>
        <w:keepLines/>
        <w:spacing w:after="100" w:line="300"/>
      </w:pPr>
      <w:r>
        <w:rPr>
          <w:rFonts w:ascii="游ゴシック" w:cs="游ゴシック" w:eastAsia="游ゴシック" w:hAnsi="游ゴシック"/>
          <w:b/>
          <w:bCs/>
          <w:color w:val="2E75B6"/>
          <w:sz w:val="22"/>
          <w:szCs w:val="22"/>
        </w:rPr>
        <w:t xml:space="preserve">(8) 地域密着型サービスの必要利用定員総数</w:t>
      </w:r>
    </w:p>
    <w:p>
      <w:pPr>
        <w:spacing w:after="120" w:line="300"/>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6年10月末の161人へ2年間で22.0%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0.178人分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0.205人分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0.168人分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高齢者1人あたりの定員は令和6年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keepNext/>
        <w:keepLines/>
        <w:spacing w:after="100" w:line="300"/>
      </w:pPr>
      <w:r>
        <w:rPr>
          <w:rFonts w:ascii="游ゴシック" w:cs="游ゴシック" w:eastAsia="游ゴシック" w:hAnsi="游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12,681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keepNext/>
        <w:keepLines/>
        <w:spacing w:after="100" w:line="300"/>
      </w:pPr>
      <w:r>
        <w:rPr>
          <w:rFonts w:ascii="游ゴシック" w:cs="游ゴシック" w:eastAsia="游ゴシック" w:hAnsi="游ゴシック"/>
          <w:b/>
          <w:bCs/>
          <w:color w:val="2E75B6"/>
          <w:sz w:val="22"/>
          <w:szCs w:val="22"/>
        </w:rPr>
        <w:t xml:space="preserve">(10) 推計の不確かさ</w:t>
      </w:r>
    </w:p>
    <w:p>
      <w:pPr>
        <w:spacing w:after="120" w:line="300"/>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keepNext/>
        <w:keepLines/>
        <w:spacing w:after="100" w:line="300"/>
      </w:pPr>
      <w:r>
        <w:rPr>
          <w:rFonts w:ascii="游ゴシック" w:cs="游ゴシック" w:eastAsia="游ゴシック" w:hAnsi="游ゴシック"/>
          <w:b/>
          <w:bCs/>
          <w:color w:val="2E75B6"/>
          <w:sz w:val="22"/>
          <w:szCs w:val="22"/>
        </w:rPr>
        <w:t xml:space="preserve">① 単価の趨勢</w:t>
      </w:r>
    </w:p>
    <w:p>
      <w:pPr>
        <w:spacing w:after="120" w:line="300"/>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314円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keepNext/>
        <w:keepLines/>
        <w:spacing w:after="100" w:line="300"/>
      </w:pPr>
      <w:r>
        <w:rPr>
          <w:rFonts w:ascii="游ゴシック" w:cs="游ゴシック" w:eastAsia="游ゴシック" w:hAnsi="游ゴシック"/>
          <w:b/>
          <w:bCs/>
          <w:color w:val="2E75B6"/>
          <w:sz w:val="22"/>
          <w:szCs w:val="22"/>
        </w:rPr>
        <w:t xml:space="preserve">② サービス別の伸びの偏り</w:t>
      </w:r>
    </w:p>
    <w:p>
      <w:pPr>
        <w:spacing w:after="120" w:line="300"/>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最大</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keepNext/>
        <w:keepLines/>
        <w:spacing w:after="100" w:line="300"/>
      </w:pPr>
      <w:r>
        <w:rPr>
          <w:rFonts w:ascii="游ゴシック" w:cs="游ゴシック" w:eastAsia="游ゴシック" w:hAnsi="游ゴシック"/>
          <w:b/>
          <w:bCs/>
          <w:color w:val="2E75B6"/>
          <w:sz w:val="22"/>
          <w:szCs w:val="22"/>
        </w:rPr>
        <w:t xml:space="preserve">③ 推計そのものの誤差</w:t>
      </w:r>
    </w:p>
    <w:p>
      <w:pPr>
        <w:spacing w:after="120" w:line="300"/>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keepNext/>
        <w:keepLines/>
        <w:spacing w:after="100" w:line="300"/>
      </w:pPr>
      <w:r>
        <w:rPr>
          <w:rFonts w:ascii="游ゴシック" w:cs="游ゴシック" w:eastAsia="游ゴシック" w:hAnsi="游ゴシック"/>
          <w:b/>
          <w:bCs/>
          <w:color w:val="2E75B6"/>
          <w:sz w:val="22"/>
          <w:szCs w:val="22"/>
        </w:rPr>
        <w:t xml:space="preserve">参考　受給者1人あたり利用日数・回数の実績</w:t>
      </w:r>
    </w:p>
    <w:p>
      <w:pPr>
        <w:spacing w:after="120" w:line="300"/>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keepNext/>
        <w:keepLines/>
        <w:spacing w:after="100" w:line="300"/>
      </w:pPr>
      <w:r>
        <w:rPr>
          <w:rFonts w:ascii="游ゴシック" w:cs="游ゴシック" w:eastAsia="游ゴシック" w:hAnsi="游ゴシック"/>
          <w:b/>
          <w:bCs/>
          <w:color w:val="2E75B6"/>
          <w:sz w:val="22"/>
          <w:szCs w:val="22"/>
        </w:rPr>
        <w:t xml:space="preserve">(11) 施策の見込量への反映</w:t>
      </w:r>
    </w:p>
    <w:p>
      <w:pPr>
        <w:spacing w:after="120" w:line="300"/>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織り込んでいない。受給率は令和5〜7年度の3か年平均を固定。総合事業の訪問型A〜D・通所型A〜Cは令和5年度の決算で事業費の計上がないため0（5-5）</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keepNext/>
        <w:keepLines/>
        <w:spacing w:after="100" w:line="300"/>
      </w:pPr>
      <w:r>
        <w:rPr>
          <w:rFonts w:ascii="游ゴシック" w:cs="游ゴシック" w:eastAsia="游ゴシック" w:hAnsi="游ゴシック"/>
          <w:b/>
          <w:bCs/>
          <w:color w:val="2E75B6"/>
          <w:sz w:val="22"/>
          <w:szCs w:val="22"/>
        </w:rPr>
        <w:t xml:space="preserve">(12) 需要に対する供給（担い手の枠）</w:t>
      </w:r>
    </w:p>
    <w:p>
      <w:pPr>
        <w:spacing w:after="120" w:line="300"/>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r>
    </w:tbl>
    <w:p>
      <w:pPr>
        <w:spacing w:after="160" w:line="300"/>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895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154.2</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4.99人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keepNext/>
        <w:keepLines/>
        <w:spacing w:after="100" w:line="300"/>
      </w:pPr>
      <w:r>
        <w:rPr>
          <w:rFonts w:ascii="游ゴシック" w:cs="游ゴシック" w:eastAsia="游ゴシック" w:hAnsi="游ゴシック"/>
          <w:b/>
          <w:bCs/>
          <w:color w:val="2E75B6"/>
          <w:sz w:val="22"/>
          <w:szCs w:val="22"/>
        </w:rPr>
        <w:t xml:space="preserve">(13) 真に入所が必要と判断される被保険者の把握</w:t>
      </w:r>
    </w:p>
    <w:p>
      <w:pPr>
        <w:spacing w:after="120" w:line="300"/>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27人分の定員の変更を判断する材料（5-4(8)・施策3-2）</w:t>
            </w:r>
          </w:p>
        </w:tc>
      </w:tr>
      <w:tr>
        <w:trPr>
          <w:cantSplit/>
        </w:trP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keepNext/>
        <w:keepLines/>
        <w:spacing w:after="100" w:line="300"/>
      </w:pPr>
      <w:r>
        <w:rPr>
          <w:rFonts w:ascii="游ゴシック" w:cs="游ゴシック" w:eastAsia="游ゴシック" w:hAnsi="游ゴシック"/>
          <w:b/>
          <w:bCs/>
          <w:color w:val="2E75B6"/>
          <w:sz w:val="22"/>
          <w:szCs w:val="22"/>
        </w:rPr>
        <w:t xml:space="preserve">(14) 24時間対応サービスの確保方策</w:t>
      </w:r>
    </w:p>
    <w:p>
      <w:pPr>
        <w:spacing w:after="120" w:line="300"/>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本村は特定地域に該当する見込みです（1-8の3）。人員配置と報酬の両面で成立の余地が広がるため、最も現実的な選択肢です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3の注記と同じ確認事項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地域支援事業の見込み</w:t>
      </w:r>
    </w:p>
    <w:p>
      <w:pPr>
        <w:keepNext/>
        <w:keepLines/>
        <w:spacing w:after="100" w:line="300"/>
      </w:pPr>
      <w:r>
        <w:rPr>
          <w:rFonts w:ascii="游ゴシック" w:cs="游ゴシック" w:eastAsia="游ゴシック" w:hAnsi="游ゴシック"/>
          <w:b/>
          <w:bCs/>
          <w:color w:val="2E75B6"/>
          <w:sz w:val="22"/>
          <w:szCs w:val="22"/>
        </w:rPr>
        <w:t xml:space="preserve">(1) 地域支援事業の量の見込み</w:t>
      </w:r>
    </w:p>
    <w:p>
      <w:pPr>
        <w:spacing w:after="120" w:line="300"/>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842"/>
        <w:gridCol w:w="842"/>
        <w:gridCol w:w="842"/>
        <w:gridCol w:w="1030"/>
        <w:gridCol w:w="1030"/>
        <w:gridCol w:w="936"/>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「0」は令和5年度の決算で事業費の計上がないことを、「―」は村からの実績の提供を受けていないことを示します。</w:t>
      </w:r>
    </w:p>
    <w:p>
      <w:pPr>
        <w:keepNext/>
        <w:keepLines/>
        <w:spacing w:after="100" w:line="300"/>
      </w:pPr>
      <w:r>
        <w:rPr>
          <w:rFonts w:ascii="游ゴシック" w:cs="游ゴシック" w:eastAsia="游ゴシック" w:hAnsi="游ゴシック"/>
          <w:b/>
          <w:bCs/>
          <w:color w:val="2E75B6"/>
          <w:sz w:val="22"/>
          <w:szCs w:val="22"/>
        </w:rPr>
        <w:t xml:space="preserve">量の見込みの立て方</w:t>
      </w:r>
    </w:p>
    <w:p>
      <w:pPr>
        <w:spacing w:after="120" w:line="300"/>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令和8年を100としたときの増減率です。認定者数は5-3の見込み（214人→214人→217人→220人）、第1号被保険者数は5-2の見込み（1,012人→1,004人→995人→987人）によります。</w:t>
      </w:r>
    </w:p>
    <w:p>
      <w:pPr>
        <w:spacing w:after="120" w:line="300"/>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令和5年度の決算で事業費の計上がないため「0」で立てましたが、施策1-2で創設を検討することとしているため、実施を決定した場合は見込量に計上して差し替えます。</w:t>
      </w:r>
    </w:p>
    <w:p>
      <w:pPr>
        <w:keepNext/>
        <w:keepLines/>
        <w:spacing w:after="100" w:line="300"/>
      </w:pPr>
      <w:r>
        <w:rPr>
          <w:rFonts w:ascii="游ゴシック" w:cs="游ゴシック" w:eastAsia="游ゴシック" w:hAnsi="游ゴシック"/>
          <w:b/>
          <w:bCs/>
          <w:color w:val="2E75B6"/>
          <w:sz w:val="22"/>
          <w:szCs w:val="22"/>
        </w:rPr>
        <w:t xml:space="preserve">(2) 地域支援事業費の見込み</w:t>
      </w:r>
    </w:p>
    <w:p>
      <w:pPr>
        <w:spacing w:after="120" w:line="300"/>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40,922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令和5年度の決算で事業費の計上がありません（2-6）。施策1-2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標準給付費の見込み</w:t>
      </w:r>
    </w:p>
    <w:p>
      <w:pPr>
        <w:spacing w:after="120" w:line="300"/>
      </w:pPr>
      <w:r>
        <w:rPr>
          <w:rFonts w:ascii="游ゴシック" w:cs="游ゴシック" w:eastAsia="游ゴシック" w:hAnsi="游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49,389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keepNext/>
        <w:keepLines/>
        <w:spacing w:after="100" w:line="300"/>
      </w:pPr>
      <w:r>
        <w:rPr>
          <w:rFonts w:ascii="游ゴシック" w:cs="游ゴシック" w:eastAsia="游ゴシック" w:hAnsi="游ゴシック"/>
          <w:b/>
          <w:bCs/>
          <w:color w:val="2E75B6"/>
          <w:sz w:val="22"/>
          <w:szCs w:val="22"/>
        </w:rPr>
        <w:t xml:space="preserve">介護給付費と予防給付費の分離</w:t>
      </w:r>
    </w:p>
    <w:p>
      <w:pPr>
        <w:spacing w:after="120" w:line="300"/>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175,230円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keepNext/>
        <w:keepLines/>
        <w:spacing w:after="100" w:line="300"/>
      </w:pPr>
      <w:r>
        <w:rPr>
          <w:rFonts w:ascii="游ゴシック" w:cs="游ゴシック" w:eastAsia="游ゴシック" w:hAnsi="游ゴシック"/>
          <w:b/>
          <w:bCs/>
          <w:color w:val="2E75B6"/>
          <w:sz w:val="22"/>
          <w:szCs w:val="22"/>
        </w:rPr>
        <w:t xml:space="preserve">補助給付等の対標準給付費比</w:t>
      </w:r>
    </w:p>
    <w:p>
      <w:pPr>
        <w:spacing w:after="120" w:line="300"/>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keepNext/>
        <w:keepLines/>
        <w:spacing w:after="100" w:line="300"/>
      </w:pPr>
      <w:r>
        <w:rPr>
          <w:rFonts w:ascii="游ゴシック" w:cs="游ゴシック" w:eastAsia="游ゴシック" w:hAnsi="游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246"/>
        <w:gridCol w:w="1685"/>
        <w:gridCol w:w="3557"/>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対前年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244,097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247,333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258,848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spacing w:after="120" w:line="300"/>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keepNext/>
        <w:keepLines/>
        <w:spacing w:after="100" w:line="300"/>
      </w:pPr>
      <w:r>
        <w:rPr>
          <w:rFonts w:ascii="游ゴシック" w:cs="游ゴシック" w:eastAsia="游ゴシック" w:hAnsi="游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keepNext/>
        <w:keepLines/>
        <w:spacing w:after="100" w:line="300"/>
      </w:pPr>
      <w:r>
        <w:rPr>
          <w:rFonts w:ascii="游ゴシック" w:cs="游ゴシック" w:eastAsia="游ゴシック" w:hAnsi="游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280,366千円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第1号被保険者の保険料</w:t>
      </w:r>
    </w:p>
    <w:p>
      <w:pPr>
        <w:keepNext/>
        <w:keepLines/>
        <w:spacing w:after="100" w:line="300"/>
      </w:pPr>
      <w:r>
        <w:rPr>
          <w:rFonts w:ascii="游ゴシック" w:cs="游ゴシック" w:eastAsia="游ゴシック" w:hAnsi="游ゴシック"/>
          <w:b/>
          <w:bCs/>
          <w:color w:val="2E75B6"/>
          <w:sz w:val="22"/>
          <w:szCs w:val="22"/>
        </w:rPr>
        <w:t xml:space="preserve">第10期の保険料基準額</w:t>
      </w:r>
    </w:p>
    <w:p>
      <w:pPr>
        <w:spacing w:after="120" w:line="300"/>
      </w:pPr>
      <w:r>
        <w:rPr>
          <w:rFonts w:ascii="游ゴシック" w:cs="游ゴシック" w:eastAsia="游ゴシック" w:hAnsi="游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pPr>
      <w:r>
        <w:rPr>
          <w:rFonts w:ascii="游ゴシック" w:cs="游ゴシック" w:eastAsia="游ゴシック" w:hAnsi="游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-5・5-4(5)）。</w:t>
      </w:r>
    </w:p>
    <w:p>
      <w:pPr>
        <w:keepNext/>
        <w:keepLines/>
        <w:spacing w:after="100" w:line="300"/>
      </w:pPr>
      <w:r>
        <w:rPr>
          <w:rFonts w:ascii="游ゴシック" w:cs="游ゴシック" w:eastAsia="游ゴシック" w:hAnsi="游ゴシック"/>
          <w:b/>
          <w:bCs/>
          <w:color w:val="2E75B6"/>
          <w:sz w:val="22"/>
          <w:szCs w:val="22"/>
        </w:rPr>
        <w:t xml:space="preserve">介護給付費準備基金の取崩し</w:t>
      </w:r>
    </w:p>
    <w:p>
      <w:pPr>
        <w:spacing w:after="120" w:line="300"/>
      </w:pPr>
      <w:r>
        <w:rPr>
          <w:rFonts w:ascii="游ゴシック" w:cs="游ゴシック" w:eastAsia="游ゴシック" w:hAnsi="游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pPr>
      <w:r>
        <w:rPr>
          <w:rFonts w:ascii="游ゴシック" w:cs="游ゴシック" w:eastAsia="游ゴシック" w:hAnsi="游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2-9）。</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厚生労働省の事務連絡は、保険料が第9期と比べて大きく増減している場合には誤入力等がないか推計データ全体を確認することを求めています。本村は▲18.45%であるためこれに当たり、確認を行いました。令和6年度・令和7年度に実績があるのに令和8年度が0で入っているサービスが10件あり、うち6件は令和9年度以降も0です。この6件（介護予防短期入所生活介護・訪問入浴介護・短期入所療養介護（老健）・特定福祉用具購入費・住宅改修費・地域密着型通所介護）の扱いは、村に確認のうえ確定します（5-12）。</w:t>
      </w:r>
    </w:p>
    <w:p>
      <w:pPr>
        <w:keepNext/>
        <w:keepLines/>
        <w:spacing w:after="100" w:line="300"/>
      </w:pPr>
      <w:r>
        <w:rPr>
          <w:rFonts w:ascii="游ゴシック" w:cs="游ゴシック" w:eastAsia="游ゴシック" w:hAnsi="游ゴシック"/>
          <w:b/>
          <w:bCs/>
          <w:color w:val="2E75B6"/>
          <w:sz w:val="22"/>
          <w:szCs w:val="22"/>
        </w:rPr>
        <w:t xml:space="preserve">確定した算定の係数</w:t>
      </w:r>
    </w:p>
    <w:p>
      <w:pPr>
        <w:spacing w:after="120" w:line="300"/>
      </w:pPr>
      <w:r>
        <w:rPr>
          <w:rFonts w:ascii="游ゴシック" w:cs="游ゴシック" w:eastAsia="游ゴシック" w:hAnsi="游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係数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調整交付金の見込交付割合について、当方はワークシートの提供を受ける前に第9期計画から復元して4.10%から4.32%と置いていました。国の値はこれを1.0ポイント以上上回ります。0.1ポイントで月額約26円効くため、1.0ポイントで約260円の差になります。この値が県から示されたものか村が入力したものかを確認します（5-12）。後期高齢者加入割合補正係数と所得段階別加入割合補正係数は、参考シートの全国値（仮置値）から算出された暫定値です。</w:t>
      </w:r>
    </w:p>
    <w:p>
      <w:pPr>
        <w:keepNext/>
        <w:keepLines/>
        <w:spacing w:after="100" w:line="300"/>
      </w:pPr>
      <w:r>
        <w:rPr>
          <w:rFonts w:ascii="游ゴシック" w:cs="游ゴシック" w:eastAsia="游ゴシック" w:hAnsi="游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keepNext/>
        <w:keepLines/>
        <w:spacing w:after="100" w:line="300"/>
      </w:pPr>
      <w:r>
        <w:rPr>
          <w:rFonts w:ascii="游ゴシック" w:cs="游ゴシック" w:eastAsia="游ゴシック" w:hAnsi="游ゴシック"/>
          <w:b/>
          <w:bCs/>
          <w:color w:val="2E75B6"/>
          <w:sz w:val="22"/>
          <w:szCs w:val="22"/>
        </w:rPr>
        <w:t xml:space="preserve">介護給付費準備基金の取崩しの水準</w:t>
      </w:r>
    </w:p>
    <w:p>
      <w:pPr>
        <w:spacing w:after="120" w:line="300"/>
      </w:pPr>
      <w:r>
        <w:rPr>
          <w:rFonts w:ascii="游ゴシック" w:cs="游ゴシック" w:eastAsia="游ゴシック" w:hAnsi="游ゴシック"/>
          <w:sz w:val="21"/>
          <w:szCs w:val="21"/>
        </w:rPr>
        <w:t xml:space="preserve">第10期で基金をほぼ使い切るため、第11期には取崩しの余地が残りません。国の推計ワークシートは、第11期の保険料基準額を月額7,301.29円（第10期比＋1,788円・＋32.4%）と出力しています。第10期を下げるほど第11期の上がり幅が大きくなる関係にあり、取崩額をいくらにするかは世代間の負担の公平に関わる村の判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2回策定委員会には、取崩額を変えた場合の第10期と第11期の保険料の対比をお示しします。国の推計ワークシートどおりの40,000千円、第9期と同程度の24,000千円、取崩しなしの3案で組みます。取崩額を減らせば第10期は上がりますが、第11期の上がり幅は和らぎます。</w:t>
      </w:r>
    </w:p>
    <w:p>
      <w:pPr>
        <w:keepNext/>
        <w:keepLines/>
        <w:spacing w:after="100" w:line="300"/>
      </w:pPr>
      <w:r>
        <w:rPr>
          <w:rFonts w:ascii="游ゴシック" w:cs="游ゴシック" w:eastAsia="游ゴシック" w:hAnsi="游ゴシック"/>
          <w:b/>
          <w:bCs/>
          <w:color w:val="2E75B6"/>
          <w:sz w:val="22"/>
          <w:szCs w:val="22"/>
        </w:rPr>
        <w:t xml:space="preserve">保険料基準額の算定</w:t>
      </w:r>
    </w:p>
    <w:p>
      <w:pPr>
        <w:spacing w:after="120" w:line="300"/>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keepNext/>
        <w:keepLines/>
        <w:spacing w:after="100" w:line="300"/>
      </w:pPr>
      <w:r>
        <w:rPr>
          <w:rFonts w:ascii="游ゴシック" w:cs="游ゴシック" w:eastAsia="游ゴシック" w:hAnsi="游ゴシック"/>
          <w:b/>
          <w:bCs/>
          <w:color w:val="2E75B6"/>
          <w:sz w:val="22"/>
          <w:szCs w:val="22"/>
        </w:rPr>
        <w:t xml:space="preserve">算定の構造</w:t>
      </w:r>
    </w:p>
    <w:p>
      <w:pPr>
        <w:spacing w:after="120" w:line="300"/>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keepNext/>
        <w:keepLines/>
        <w:spacing w:after="100" w:line="300"/>
      </w:pPr>
      <w:r>
        <w:rPr>
          <w:rFonts w:ascii="游ゴシック" w:cs="游ゴシック" w:eastAsia="游ゴシック" w:hAnsi="游ゴシック"/>
          <w:b/>
          <w:bCs/>
          <w:color w:val="2E75B6"/>
          <w:sz w:val="22"/>
          <w:szCs w:val="22"/>
        </w:rPr>
        <w:t xml:space="preserve">算定の構造による第9期の再現</w:t>
      </w:r>
    </w:p>
    <w:p>
      <w:pPr>
        <w:spacing w:after="120" w:line="300"/>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keepNext/>
        <w:keepLines/>
        <w:spacing w:after="100" w:line="300"/>
      </w:pPr>
      <w:r>
        <w:rPr>
          <w:rFonts w:ascii="游ゴシック" w:cs="游ゴシック" w:eastAsia="游ゴシック" w:hAnsi="游ゴシック"/>
          <w:b/>
          <w:bCs/>
          <w:color w:val="2E75B6"/>
          <w:sz w:val="22"/>
          <w:szCs w:val="22"/>
        </w:rPr>
        <w:t xml:space="preserve">第1号被保険者負担割合（α）</w:t>
      </w:r>
    </w:p>
    <w:p>
      <w:pPr>
        <w:spacing w:after="120" w:line="300"/>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＋587円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10期の第1号被保険者負担割合は、国の推計ワークシートにより23%で据え置かれることが確かめられました。第11期24%・第12期25%・第14期26%・第16期27%・第17期28%は仮置値として参考に示されているものです。上表の24%・25%の行は、第11期以降の姿を見るための参考です。</w:t>
      </w:r>
    </w:p>
    <w:p>
      <w:pPr>
        <w:keepNext/>
        <w:keepLines/>
        <w:spacing w:after="100" w:line="300"/>
      </w:pPr>
      <w:r>
        <w:rPr>
          <w:rFonts w:ascii="游ゴシック" w:cs="游ゴシック" w:eastAsia="游ゴシック" w:hAnsi="游ゴシック"/>
          <w:b/>
          <w:bCs/>
          <w:color w:val="2E75B6"/>
          <w:sz w:val="22"/>
          <w:szCs w:val="22"/>
        </w:rPr>
        <w:t xml:space="preserve">感応度</w:t>
      </w:r>
    </w:p>
    <w:p>
      <w:pPr>
        <w:spacing w:after="120" w:line="300"/>
      </w:pPr>
      <w:r>
        <w:rPr>
          <w:rFonts w:ascii="游ゴシック" w:cs="游ゴシック" w:eastAsia="游ゴシック" w:hAnsi="游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pPr>
      <w:r>
        <w:rPr>
          <w:rFonts w:ascii="游ゴシック" w:cs="游ゴシック" w:eastAsia="游ゴシック" w:hAnsi="游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当方が令和5年度決算を基礎として算定した感応度です。基金残高は国の推計ワークシートにより確定しました（42,128,183円）。令和6年度・令和7年度の決算の提供を受けた時点で、給付費の水準に関わる行を確定します。感応度の各行がどれだけ動くかは、国の値に組み替えたうえで算定し直して確かめます。</w:t>
      </w:r>
    </w:p>
    <w:p>
      <w:pPr>
        <w:keepNext/>
        <w:keepLines/>
        <w:spacing w:after="100" w:line="300"/>
      </w:pPr>
      <w:r>
        <w:rPr>
          <w:rFonts w:ascii="游ゴシック" w:cs="游ゴシック" w:eastAsia="游ゴシック" w:hAnsi="游ゴシック"/>
          <w:b/>
          <w:bCs/>
          <w:color w:val="2E75B6"/>
          <w:sz w:val="22"/>
          <w:szCs w:val="22"/>
        </w:rPr>
        <w:t xml:space="preserve">年度別の保険料収納必要額</w:t>
      </w:r>
    </w:p>
    <w:p>
      <w:pPr>
        <w:spacing w:after="120" w:line="300"/>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▲486千円（不足）</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keepNext/>
        <w:keepLines/>
        <w:spacing w:after="100" w:line="300"/>
      </w:pPr>
      <w:r>
        <w:rPr>
          <w:rFonts w:ascii="游ゴシック" w:cs="游ゴシック" w:eastAsia="游ゴシック" w:hAnsi="游ゴシック"/>
          <w:b/>
          <w:bCs/>
          <w:color w:val="2E75B6"/>
          <w:sz w:val="22"/>
          <w:szCs w:val="22"/>
        </w:rPr>
        <w:t xml:space="preserve">保険料基準額のパターン</w:t>
      </w:r>
    </w:p>
    <w:p>
      <w:pPr>
        <w:spacing w:after="120" w:line="300"/>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100" w:line="300"/>
      </w:pPr>
      <w:r>
        <w:rPr>
          <w:rFonts w:ascii="游ゴシック" w:cs="游ゴシック" w:eastAsia="游ゴシック" w:hAnsi="游ゴシック"/>
          <w:b/>
          <w:bCs/>
          <w:color w:val="2E75B6"/>
          <w:sz w:val="22"/>
          <w:szCs w:val="22"/>
        </w:rPr>
        <w:t xml:space="preserve">算定上の月額と条例上の基準額</w:t>
      </w:r>
    </w:p>
    <w:p>
      <w:pPr>
        <w:spacing w:after="120" w:line="300"/>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四捨五入した額とすることが一般的です。両者は区別して扱う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98"/>
        <w:gridCol w:w="2434"/>
        <w:gridCol w:w="1684"/>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パターン</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算定上の月額</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条例上の基準額（百円未満四捨五入）</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第9期からの増減</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12パターンの下限</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12パターンの上限</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第9期（参考）</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図5-2　算定上の保険料月額と条例上の基準額</w:t>
      </w:r>
    </w:p>
    <w:p>
      <w:pPr>
        <w:spacing w:after="200"/>
        <w:jc w:val="center"/>
      </w:pPr>
      <w:r>
        <w:rPr>
          <w:rFonts w:ascii="游ゴシック" w:cs="游ゴシック" w:eastAsia="游ゴシック" w:hAnsi="游ゴシック"/>
          <w:color w:val="595959"/>
          <w:sz w:val="16"/>
          <w:szCs w:val="16"/>
        </w:rPr>
        <w:t xml:space="preserve">出典：本計画の算定による</w:t>
      </w:r>
    </w:p>
    <w:p>
      <w:pPr>
        <w:spacing w:after="120" w:line="300"/>
      </w:pPr>
      <w:r>
        <w:rPr>
          <w:rFonts w:ascii="游ゴシック" w:cs="游ゴシック" w:eastAsia="游ゴシック" w:hAnsi="游ゴシック"/>
          <w:sz w:val="21"/>
          <w:szCs w:val="21"/>
        </w:rPr>
        <w:t xml:space="preserve">第9期の条例基準額6,700円に対し、基金を取り崩さない場合は6,800円（＋100円）、24,000千円を取り崩す場合は6,100円（▲600円）となります。条例上の基準額を据え置く6,700円とするには、基金の取崩額を上記の中間に置くこと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編集注記：四捨五入の扱いは村の条例の定め方によります。第9期の条例において算定上の月額をどのように基準額に置き換えたかを確認したうえで、第10期も同じ扱いとします。</w:t>
      </w:r>
    </w:p>
    <w:p>
      <w:pPr>
        <w:spacing w:after="120" w:line="300"/>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の以下の表（算定の構造・第9期の再現・感応度・年度別の収納必要額・12のパターン・条例上の基準額）は、当方が国の推計ワークシートの提供を受ける前に算定したものです。国の値との突合は上の「当方の算定との突合」に示しており、取崩しを行わないベースで2.2%の差でした。算定の仕組みを示すものとして残します。国の値に合わせた組み替えは、令和6年度・令和7年度の決算の提供を受けた時点で行います。</w:t>
      </w:r>
    </w:p>
    <w:p>
      <w:pPr>
        <w:keepNext/>
        <w:keepLines/>
        <w:spacing w:after="100" w:line="300"/>
      </w:pPr>
      <w:r>
        <w:rPr>
          <w:rFonts w:ascii="游ゴシック" w:cs="游ゴシック" w:eastAsia="游ゴシック" w:hAnsi="游ゴシック"/>
          <w:b/>
          <w:bCs/>
          <w:color w:val="2E75B6"/>
          <w:sz w:val="22"/>
          <w:szCs w:val="22"/>
        </w:rPr>
        <w:t xml:space="preserve">所得段階の設定</w:t>
      </w:r>
    </w:p>
    <w:p>
      <w:pPr>
        <w:spacing w:after="120" w:line="300"/>
      </w:pPr>
      <w:r>
        <w:rPr>
          <w:rFonts w:ascii="游ゴシック" w:cs="游ゴシック" w:eastAsia="游ゴシック" w:hAnsi="游ゴシック"/>
          <w:sz w:val="21"/>
          <w:szCs w:val="21"/>
        </w:rPr>
        <w:t xml:space="preserve">所得段階は、国の基準に基づき標準13段階を設定します。</w:t>
      </w:r>
    </w:p>
    <w:p>
      <w:pPr>
        <w:spacing w:after="120" w:line="300"/>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出典：令和8年度合計所得金額分布調査</w:t>
      </w:r>
    </w:p>
    <w:p>
      <w:pPr>
        <w:spacing w:after="120" w:line="300"/>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国の推計ワークシートでは「保険料設定を弾力化した場合」の行がすべて空であり、村は標準の段階区分で提出していることが確かめられま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5-8　介護給付適正化計画</w:t>
      </w:r>
    </w:p>
    <w:p>
      <w:pPr>
        <w:spacing w:after="120" w:line="300"/>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6期・令和9年度から令和11年度まで）です。</w:t>
      </w:r>
    </w:p>
    <w:p>
      <w:pPr>
        <w:spacing w:after="120" w:line="300"/>
      </w:pPr>
      <w:r>
        <w:rPr>
          <w:rFonts w:ascii="游ゴシック" w:cs="游ゴシック" w:eastAsia="游ゴシック" w:hAnsi="游ゴシック"/>
          <w:sz w:val="21"/>
          <w:szCs w:val="21"/>
        </w:rPr>
        <w:t xml:space="preserve">国の「介護給付適正化計画に関する指針」（令和5年9月12日老介発0912第1号）により、第5期計画（令和6年度〜令和8年度）から、従来の主要5事業が主要3事業に整理されました。本計画も主要3事業を基本とします。</w:t>
      </w:r>
    </w:p>
    <w:p>
      <w:pPr>
        <w:keepNext/>
        <w:keepLines/>
        <w:spacing w:after="100" w:line="300"/>
      </w:pPr>
      <w:r>
        <w:rPr>
          <w:rFonts w:ascii="游ゴシック" w:cs="游ゴシック" w:eastAsia="游ゴシック" w:hAnsi="游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縦覧点検・医療情報との突合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毎年度4帳票・100%。医療情報との突合は16点満点を維持</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pPr>
      <w:r>
        <w:rPr>
          <w:rFonts w:ascii="游ゴシック" w:cs="游ゴシック" w:eastAsia="游ゴシック" w:hAnsi="游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図5-3　給付適正化の取組別得点の推移（推進交付金 目標Ⅱ）</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出典：厚生労働省「評価指標に係る該当状況調査票集計表」（令和6〜8年度）により算定</w:t>
      </w:r>
    </w:p>
    <w:p>
      <w:pPr>
        <w:spacing w:after="120" w:line="300"/>
      </w:pPr>
      <w:r>
        <w:rPr>
          <w:rFonts w:ascii="游ゴシック" w:cs="游ゴシック" w:eastAsia="游ゴシック" w:hAnsi="游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keepNext/>
        <w:keepLines/>
        <w:spacing w:after="100" w:line="300"/>
      </w:pPr>
      <w:r>
        <w:rPr>
          <w:rFonts w:ascii="游ゴシック" w:cs="游ゴシック" w:eastAsia="游ゴシック" w:hAnsi="游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毎年度公表</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keepNext/>
        <w:keepLines/>
        <w:spacing w:after="100" w:line="300"/>
      </w:pPr>
      <w:r>
        <w:rPr>
          <w:rFonts w:ascii="游ゴシック" w:cs="游ゴシック" w:eastAsia="游ゴシック" w:hAnsi="游ゴシック"/>
          <w:b/>
          <w:bCs/>
          <w:color w:val="2E75B6"/>
          <w:sz w:val="22"/>
          <w:szCs w:val="22"/>
        </w:rPr>
        <w:t xml:space="preserve">(3) 財政調整交付金の算定への影響</w:t>
      </w:r>
    </w:p>
    <w:p>
      <w:pPr>
        <w:spacing w:after="120" w:line="300"/>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縦覧点検・医療情報との突合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上記の据え置きを前提に月額6,756円と算定（5-7）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照会の結果により5-7の感応度を用いて幅を示す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勘案の方法と程度は公表されていないため、実際にどの程度反映されるかは確かめられていません。県に対し、調整交付金の算定方法と主要3事業の取組状況の勘案の有無・程度、および本村の交付割合の見通しを照会する必要があります。照会の結果が出るまでは、5-7のとおり第9期から復元した交付割合を据え置いて算定します。指針の該当箇所（第二の(2)④）については原文の再確認を要します。</w:t>
      </w:r>
    </w:p>
    <w:p>
      <w:pPr>
        <w:keepNext/>
        <w:keepLines/>
        <w:spacing w:after="100" w:line="300"/>
      </w:pPr>
      <w:r>
        <w:rPr>
          <w:rFonts w:ascii="游ゴシック" w:cs="游ゴシック" w:eastAsia="游ゴシック" w:hAnsi="游ゴシック"/>
          <w:b/>
          <w:bCs/>
          <w:color w:val="2E75B6"/>
          <w:sz w:val="22"/>
          <w:szCs w:val="22"/>
        </w:rPr>
        <w:t xml:space="preserve">(4) 介護SCRの活用</w:t>
      </w:r>
    </w:p>
    <w:p>
      <w:pPr>
        <w:spacing w:after="120" w:line="300"/>
      </w:pPr>
      <w:r>
        <w:rPr>
          <w:rFonts w:ascii="游ゴシック" w:cs="游ゴシック" w:eastAsia="游ゴシック" w:hAnsi="游ゴシック"/>
          <w:sz w:val="21"/>
          <w:szCs w:val="21"/>
        </w:rPr>
        <w:t xml:space="preserve">国は介護SCR（標準化給付費比）を公表しています。年齢構成の違いを除いたうえで、サービス種類別の給付の水準を全国平均を100として比べられる指標です。利用者の住所地でみるSCRと、事業所の所在地でみるxSCRの2系列があり、両者の差は「域内に事業所がないために域外で利用している」ことによる差を示します。</w:t>
      </w:r>
    </w:p>
    <w:p>
      <w:pPr>
        <w:spacing w:after="120" w:line="300"/>
      </w:pPr>
      <w:r>
        <w:rPr>
          <w:rFonts w:ascii="游ゴシック" w:cs="游ゴシック" w:eastAsia="游ゴシック" w:hAnsi="游ゴシック"/>
          <w:sz w:val="21"/>
          <w:szCs w:val="21"/>
        </w:rPr>
        <w:t xml:space="preserve">本村は給付費の58.7%が村外のサービスによるものであり（2-5）、村内の事業所は3種類しかありません。SCRとxSCRの対比は、本村の適正化の重点を「村内の供給の偏り」と「村外の利用の妥当性」に分けて示すのに適しています。給付費が高いサービスについて、それが利用の多さによるものか、単価の高い形態に偏っているためかを切り分けることもで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SCRのデータは未受領です。提供を受けた時点で、サービス種類別のSCRとxSCRを2-5および本節に加え、適正化の重点の選定に用います。データがない間は、「見える化」システムの介護サービス自給率（2-5）と村外給付費の割合により代替しています。</w:t>
      </w:r>
    </w:p>
    <w:p>
      <w:pPr>
        <w:spacing w:after="120" w:line="300"/>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5-9　保険者機能強化推進交付金等の活用</w:t>
      </w:r>
    </w:p>
    <w:p>
      <w:pPr>
        <w:spacing w:after="120" w:line="300"/>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pPr>
      <w:r>
        <w:rPr>
          <w:rFonts w:ascii="游ゴシック" w:cs="游ゴシック" w:eastAsia="游ゴシック" w:hAnsi="游ゴシック"/>
          <w:b/>
          <w:bCs/>
          <w:color w:val="2E75B6"/>
          <w:sz w:val="22"/>
          <w:szCs w:val="22"/>
        </w:rPr>
        <w:t xml:space="preserve">(1) 交付見込額</w:t>
      </w:r>
    </w:p>
    <w:p>
      <w:pPr>
        <w:spacing w:after="120" w:line="300"/>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pPr>
      <w:r>
        <w:rPr>
          <w:rFonts w:ascii="游ゴシック" w:cs="游ゴシック" w:eastAsia="游ゴシック" w:hAnsi="游ゴシック"/>
          <w:b/>
          <w:bCs/>
          <w:color w:val="2E75B6"/>
          <w:sz w:val="22"/>
          <w:szCs w:val="22"/>
        </w:rPr>
        <w:t xml:space="preserve">(2) 評価結果の状況</w:t>
      </w:r>
    </w:p>
    <w:p>
      <w:pPr>
        <w:spacing w:after="120" w:line="300"/>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34位／59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5-10　低所得者への対応</w:t>
      </w:r>
    </w:p>
    <w:p>
      <w:pPr>
        <w:spacing w:after="120" w:line="300"/>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5-11　令和22年度（2040年度）を見据えた見通し</w:t>
      </w:r>
    </w:p>
    <w:p>
      <w:pPr>
        <w:spacing w:after="120" w:line="300"/>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keepNext/>
        <w:keepLines/>
        <w:spacing w:after="100" w:line="300"/>
      </w:pPr>
      <w:r>
        <w:rPr>
          <w:rFonts w:ascii="游ゴシック" w:cs="游ゴシック" w:eastAsia="游ゴシック" w:hAnsi="游ゴシック"/>
          <w:b/>
          <w:bCs/>
          <w:color w:val="2E75B6"/>
          <w:sz w:val="22"/>
          <w:szCs w:val="22"/>
        </w:rPr>
        <w:t xml:space="preserve">中長期の保険料（国の推計ワークシートによる）</w:t>
      </w:r>
    </w:p>
    <w:p>
      <w:pPr>
        <w:spacing w:after="120" w:line="300"/>
      </w:pPr>
      <w:r>
        <w:rPr>
          <w:rFonts w:ascii="游ゴシック" w:cs="游ゴシック" w:eastAsia="游ゴシック" w:hAnsi="游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保険料基準額（月額）</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第10期比</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第1号被保険者負担割合</w:t>
            </w:r>
          </w:p>
        </w:tc>
        <w:tc>
          <w:tcPr>
            <w:tcW w:type="dxa" w:w="177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pPr>
      <w:r>
        <w:rPr>
          <w:rFonts w:ascii="游ゴシック" w:cs="游ゴシック" w:eastAsia="游ゴシック" w:hAnsi="游ゴシック"/>
          <w:sz w:val="21"/>
          <w:szCs w:val="21"/>
        </w:rPr>
        <w:t xml:space="preserve">第11期（令和12年度）に7,301.29円（＋32.4%）跳ね上がります。第10期で介護給付費準備基金をほぼ使い切り、第11期には取崩しの余地が残らないためです（5-7）。第11期の7,301.29円は、取崩しを行わない場合の第10期の6,610.55円に近い水準です。</w:t>
      </w:r>
    </w:p>
    <w:p>
      <w:pPr>
        <w:spacing w:after="120" w:line="300"/>
      </w:pPr>
      <w:r>
        <w:rPr>
          <w:rFonts w:ascii="游ゴシック" w:cs="游ゴシック" w:eastAsia="游ゴシック" w:hAnsi="游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-7）。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1人あたりの月額でみた総給付費は、第10期5,411.96円・第11期6,114.19円・第12期6,945.82円・第14期6,282.81円・第17期7,451.56円です。第12期を山として第14期にいったん下がり、その後また上がります。保険料の動きは給付費の動きとほぼ同じ形をしており、第14期の下がりは給付費と調整交付金の両方によるものです。第17期（令和32年度）の保険料は9,118.27円で、第10期の1.65倍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後期高齢者加入割合補正係数（F）は、参考シートの全国値（仮置値）によって算出された暫定値です。当方が国の式により復元を試みたところ、令和17年度0.8604・令和22年度0.7459となり、ワークシートの値（0.9753・0.7790）と一致しませんでした。算出に用いる加入割合の時点または区分の取り方が当方の想定と異なるものと考えられます。中長期の保険料の水準はこの係数に大きく左右されるため、算出方法を確認したうえで確定します（5-12）。また令和10年度からFの年齢区分が3区分から7区分に細分化され、激変緩和の措置が設けられるため（1-8の2）、上表の第11期以降の値は現行の区分による参考値です。</w:t>
      </w:r>
    </w:p>
    <w:p>
      <w:pPr>
        <w:keepNext/>
        <w:keepLines/>
        <w:spacing w:after="100" w:line="300"/>
      </w:pPr>
      <w:r>
        <w:rPr>
          <w:rFonts w:ascii="游ゴシック" w:cs="游ゴシック" w:eastAsia="游ゴシック" w:hAnsi="游ゴシック"/>
          <w:b/>
          <w:bCs/>
          <w:color w:val="2E75B6"/>
          <w:sz w:val="22"/>
          <w:szCs w:val="22"/>
        </w:rPr>
        <w:t xml:space="preserve">中長期の見込量・給付費・保険料（当方の算定）</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pPr>
      <w:r>
        <w:rPr>
          <w:rFonts w:ascii="游ゴシック" w:cs="游ゴシック" w:eastAsia="游ゴシック" w:hAnsi="游ゴシック"/>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-7）。給付費が16.2%減ることによる引下げは月額約960円に相当しますが、αが3ポイント上がればほぼ相殺されます。</w:t>
      </w:r>
    </w:p>
    <w:p>
      <w:pPr>
        <w:spacing w:after="120" w:line="300"/>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keepNext/>
        <w:keepLines/>
        <w:spacing w:after="100" w:line="300"/>
      </w:pPr>
      <w:r>
        <w:rPr>
          <w:rFonts w:ascii="游ゴシック" w:cs="游ゴシック" w:eastAsia="游ゴシック" w:hAnsi="游ゴシック"/>
          <w:b/>
          <w:bCs/>
          <w:color w:val="2E75B6"/>
          <w:sz w:val="22"/>
          <w:szCs w:val="22"/>
        </w:rPr>
        <w:t xml:space="preserve">保険料基準額の見通し（αの2案）</w:t>
      </w:r>
    </w:p>
    <w:p>
      <w:pPr>
        <w:spacing w:after="120" w:line="300"/>
      </w:pPr>
      <w:r>
        <w:rPr>
          <w:rFonts w:ascii="游ゴシック" w:cs="游ゴシック" w:eastAsia="游ゴシック" w:hAnsi="游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9,323人・月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5-12　現時点で据え置いた項目と確定の条件</w:t>
      </w:r>
    </w:p>
    <w:p>
      <w:pPr>
        <w:spacing w:after="120" w:line="300"/>
      </w:pPr>
      <w:r>
        <w:rPr>
          <w:rFonts w:ascii="游ゴシック" w:cs="游ゴシック" w:eastAsia="游ゴシック" w:hAnsi="游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keepNext/>
        <w:keepLines/>
        <w:spacing w:after="100" w:line="300"/>
      </w:pPr>
      <w:r>
        <w:rPr>
          <w:rFonts w:ascii="游ゴシック" w:cs="游ゴシック" w:eastAsia="游ゴシック" w:hAnsi="游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 月報第2表・第3表</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構成比のみを用いている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村への確認</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総合事業の事業別実績（管理番号25〜39）</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包括的支援事業・任意事業の決算内訳</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令和9年度以降も0で入っている6サービス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国の推計ワークシートのまま0としている（介護予防短期入所生活介護・訪問入浴介護・短期入所療養介護（老健）・特定福祉用具購入費・住宅改修費・地域密着型通所介護）。令和6・7年度には実績がある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村の確認（国の集計の提出期限は令和8年10月13日18時）</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国の推計ワークシートの第17期までの出力を本体とし、当方の算定（αの2案）を併記。報酬改定・制度改正は織り込まない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第11期以降の第1号被保険者負担割合を定める政令（ワークシートの値は仮置値）</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老人福祉事業（施設）の量　養護老人ホームの措置・軽費老人ホーム・生活支援ハウス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実績・目標とも空欄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村の措置・利用の実績</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保険者機能強化推進交付金等の交付見込額（令和9〜11年度）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3か年とも空欄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国の配分の方法と本村の得点。第10期の評価指標の公表後に見込む</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老人福祉事業（在宅）の量　配食・緊急通報・除雪支援・移動支援・家族介護者リフレッシュ・介護用品の支給・高齢者教室・シルバー人材センター・老人クラブ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実績・目標とも空欄（9事業）</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村単独事業の実績</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調整交付金の見込交付割合の出所</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国の推計ワークシートの5.36／5.03／4.67%を用いている。当方が第9期から復元した4.10〜4.32%を1.0ポイント以上上回る（月額約260円）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県の指示値か村の入力値かの確認、および県への照会（主要3事業の取組状況の勘案・5-8(3)）</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後期高齢者加入割合補正係数（F）の算出方法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国の推計ワークシートの値を用いている。当方の復元（令和17年度0.8604・令和22年度0.7459）がワークシートの値（0.9753・0.7790）と一致しない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算出に用いる加入割合の時点と区分の確認。令和10年度からの7区分化と激変緩和の措置の内容（1-8の2）</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標準13段階。国の推計ワークシートで弾力化の行が空であることを確認済。乗率は第9期の設定を据え置き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標準段階を定める政令</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1-8の2・5-6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補足給付の区分の細分化の施行の時期</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令和8年3月の課長会議資料により「令和9年度」としている。年度の当初からか年度の途中からかは確認中</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より新しい国の資料による確認</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1-8の2・5-7・5-8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調整交付金の一定の取組による減額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年齢区分の精緻化により交付額が増加する保険者について、介護給付適正化の主要3事業の実施状況等により増加額の一定割合を減額する仕組みが示されたとされる。本村は主要3事業の実施数が2事業であるため該当し得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仕組みの内容と本村の交付額が増加するかの確認</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1-8の3・5-4(4)・5-5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特定地域サービス・特定地域居宅サービス等事業の制度の内容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0で立てている。対象となるサービスの種類・人員配置基準の弾力化の程度・報酬の評価の方法・事業費の上限がいずれも未確定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省令・通知および介護給付費分科会の検討の結果</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省令・通知および村の活用の意向</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国の推計ツールの出力</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推計ワークシートの提供は令和8年10月に受けました。提供前に挙げていた5点の確認の結果は次のとおりです。①所得段階別の第1号被保険者数は13段階すべてが登録され、補正後被保険者数は3か年3,054人で入っています。②保険料段階は標準の段階区分によるものでした（弾力化の行はすべて空です）。③補正係数（F・G）は入力されていましたが、当方の式による復元はFについて一致しませんでした（5-11）。④地域支援事業費・その他給付費・介護給付費準備基金・予定保険料収納率はいずれも入力されています。⑤令和6・7年度に実績があるのに令和8年度が0で入っているサービスが10件あり、うち6件は令和9年度以降も0です。本村からは、福祉用具購入費・住宅改修費および令和9年4月に新設されるサービスが0で入っていること、全体として暫定の数値であることの申し送りを受けています。受領したワークシートの出力日は令和8年10月5日です。出力日により内容が変わり得るため、資料を差し替える際に取り違えないよう記録しています。</w:t>
      </w:r>
    </w:p>
    <w:p>
      <w:pPr>
        <w:keepNext/>
        <w:keepLines/>
        <w:spacing w:after="100" w:line="300"/>
      </w:pPr>
      <w:r>
        <w:rPr>
          <w:rFonts w:ascii="游ゴシック" w:cs="游ゴシック" w:eastAsia="游ゴシック" w:hAnsi="游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第2回策定委員会（施策3-2）</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令和5年度の決算で事業費の計上がないため0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施策1-2の創設の判断</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待機者数・村外利用者数の把握後に判断</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平成30年度を最後に実績がないため0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村の指定の判断（施策3-2）</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国の推計ワークシートの40,000千円（残高42,128千円の94.9%）を本体とし、24,000千円・取崩なしを併記。取崩しを減らすと第10期は上がるが第11期の＋32.4%は和らぐ</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村の決定（世代間の負担の公平に関わる）</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第4章・6-3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推進体制</w:t>
      </w:r>
    </w:p>
    <w:p>
      <w:pPr>
        <w:spacing w:after="120" w:line="300"/>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進捗管理の仕組み</w:t>
      </w:r>
    </w:p>
    <w:p>
      <w:pPr>
        <w:spacing w:after="120" w:line="300"/>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成果目標及び活動指標</w:t>
      </w:r>
    </w:p>
    <w:p>
      <w:pPr>
        <w:spacing w:after="120" w:line="300"/>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keepNext/>
        <w:keepLines/>
        <w:spacing w:after="100" w:line="300"/>
      </w:pPr>
      <w:r>
        <w:rPr>
          <w:rFonts w:ascii="游ゴシック" w:cs="游ゴシック" w:eastAsia="游ゴシック" w:hAnsi="游ゴシック"/>
          <w:b/>
          <w:bCs/>
          <w:color w:val="2E75B6"/>
          <w:sz w:val="22"/>
          <w:szCs w:val="22"/>
        </w:rPr>
        <w:t xml:space="preserve">計画への記載により取得をめざす評価指標</w:t>
      </w:r>
    </w:p>
    <w:p>
      <w:pPr>
        <w:spacing w:after="120" w:line="300"/>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61点あります。第10期はこれらの取得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61点を取得すると、令和8年度の447点は508点となります。全国平均455.1点を52.9点上回り、全国順位は1,005位から525位、福島県内順位は34位から18位になります（いずれも令和8年度の得点で並べ替えた場合の位置です）。評価指標は毎年度改定されるため実際の得点は変動しますが、取り組む価値のある差です。</w:t>
      </w:r>
    </w:p>
    <w:p>
      <w:pPr>
        <w:keepNext/>
        <w:keepLines/>
        <w:spacing w:after="100" w:line="300"/>
      </w:pPr>
      <w:r>
        <w:rPr>
          <w:rFonts w:ascii="游ゴシック" w:cs="游ゴシック" w:eastAsia="游ゴシック" w:hAnsi="游ゴシック"/>
          <w:b/>
          <w:bCs/>
          <w:color w:val="2E75B6"/>
          <w:sz w:val="22"/>
          <w:szCs w:val="22"/>
        </w:rPr>
        <w:t xml:space="preserve">残る61点の扱い</w:t>
      </w:r>
    </w:p>
    <w:p>
      <w:pPr>
        <w:spacing w:after="120" w:line="300"/>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61点は、このうち「計画への記載で取得できる56点」に、32項目の外にある認知症施策推進計画の策定（5点・全国該当率42.8%）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計画に書くだけで取得できるのは56点、本業務の実施で取得できるのが4点で、あわせて60点です。これに認知症施策推進計画の5点を加えた61点が上表の取得目標にあたり、447点は508点になります。本業務の4点を含めると512点です。条件付きの39点は事業の実施を伴うため、施策1-2（多様なサービス）・施策4-4（認知症施策）・施策4-6（介護人材）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計画値と実績値の乖離の検証</w:t>
      </w:r>
    </w:p>
    <w:p>
      <w:pPr>
        <w:spacing w:after="120" w:line="300"/>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keepNext/>
        <w:keepLines/>
        <w:spacing w:after="100" w:line="300"/>
      </w:pPr>
      <w:r>
        <w:rPr>
          <w:rFonts w:ascii="游ゴシック" w:cs="游ゴシック" w:eastAsia="游ゴシック" w:hAnsi="游ゴシック"/>
          <w:b/>
          <w:bCs/>
          <w:color w:val="2E75B6"/>
          <w:sz w:val="22"/>
          <w:szCs w:val="22"/>
        </w:rPr>
        <w:t xml:space="preserve">給付適正化と交付金評価の進捗管理</w:t>
      </w:r>
    </w:p>
    <w:p>
      <w:pPr>
        <w:spacing w:after="120" w:line="300"/>
      </w:pPr>
      <w:r>
        <w:rPr>
          <w:rFonts w:ascii="游ゴシック" w:cs="游ゴシック" w:eastAsia="游ゴシック" w:hAnsi="游ゴシック"/>
          <w:sz w:val="21"/>
          <w:szCs w:val="21"/>
        </w:rPr>
        <w:t xml:space="preserve">上表の4項目に加えて、次の2つを毎年度の検証の対象とします。いずれも6-3の成果目標・活動指標と一体のものです。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主要3事業の実施状況と定量目標の達成状況（5-8(1)）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目標別の得点と全国・県平均との差。計画への記載により取得をめざした11項目・61点の取得状況。評価結果は策定委員会に報告して検証する（それ自体が評価の要件）</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見直しの目安</w:t>
      </w:r>
    </w:p>
    <w:p>
      <w:pPr>
        <w:spacing w:after="120" w:line="300"/>
      </w:pPr>
      <w:r>
        <w:rPr>
          <w:rFonts w:ascii="游ゴシック" w:cs="游ゴシック" w:eastAsia="游ゴシック" w:hAnsi="游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計画の見直し</w:t>
      </w:r>
    </w:p>
    <w:p>
      <w:pPr>
        <w:spacing w:after="120" w:line="300"/>
      </w:pPr>
      <w:r>
        <w:rPr>
          <w:rFonts w:ascii="游ゴシック" w:cs="游ゴシック" w:eastAsia="游ゴシック" w:hAnsi="游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pPr>
      <w:r>
        <w:rPr>
          <w:rFonts w:ascii="游ゴシック" w:cs="游ゴシック" w:eastAsia="游ゴシック" w:hAnsi="游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　計画の策定経過</w:t>
      </w:r>
    </w:p>
    <w:p>
      <w:pPr>
        <w:spacing w:after="120" w:line="300"/>
      </w:pPr>
      <w:r>
        <w:rPr>
          <w:rFonts w:ascii="游ゴシック" w:cs="游ゴシック" w:eastAsia="游ゴシック" w:hAnsi="游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策定業務の委託契約（委託第27号）</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議会全員協議会（計画案の説明）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編集注記：第1回策定委員会は本業務の受託前に開催されています。空欄の日付は確定後に記入します。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資2　北塩原村高齢者福祉計画・介護保険事業計画策定委員会</w:t>
      </w:r>
    </w:p>
    <w:p>
      <w:pPr>
        <w:keepNext/>
        <w:keepLines/>
        <w:spacing w:after="100" w:line="300"/>
      </w:pPr>
      <w:r>
        <w:rPr>
          <w:rFonts w:ascii="游ゴシック" w:cs="游ゴシック" w:eastAsia="游ゴシック" w:hAnsi="游ゴシック"/>
          <w:b/>
          <w:bCs/>
          <w:color w:val="2E75B6"/>
          <w:sz w:val="22"/>
          <w:szCs w:val="22"/>
        </w:rPr>
        <w:t xml:space="preserve">設置の根拠</w:t>
      </w:r>
    </w:p>
    <w:p>
      <w:pPr>
        <w:spacing w:after="120" w:line="300"/>
      </w:pPr>
      <w:r>
        <w:rPr>
          <w:rFonts w:ascii="游ゴシック" w:cs="游ゴシック" w:eastAsia="游ゴシック" w:hAnsi="游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keepNext/>
        <w:keepLines/>
        <w:spacing w:after="100" w:line="300"/>
      </w:pPr>
      <w:r>
        <w:rPr>
          <w:rFonts w:ascii="游ゴシック" w:cs="游ゴシック" w:eastAsia="游ゴシック" w:hAnsi="游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2059"/>
        <w:gridCol w:w="2060"/>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keepNext/>
        <w:keepLines/>
        <w:spacing w:after="100" w:line="300"/>
      </w:pPr>
      <w:r>
        <w:rPr>
          <w:rFonts w:ascii="游ゴシック" w:cs="游ゴシック" w:eastAsia="游ゴシック" w:hAnsi="游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2246"/>
        <w:gridCol w:w="5991"/>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主な議題</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策定方針、スケジュール</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資3　アンケート調査の概要</w:t>
      </w:r>
    </w:p>
    <w:p>
      <w:pPr>
        <w:spacing w:after="120" w:line="300"/>
      </w:pPr>
      <w:r>
        <w:rPr>
          <w:rFonts w:ascii="游ゴシック" w:cs="游ゴシック" w:eastAsia="游ゴシック" w:hAnsi="游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931"/>
        <w:gridCol w:w="3931"/>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150人</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認定調査員による聞き取り</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日から令和8年12月　日まで</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郵送、ファクシミリ、電子メール、窓口持参</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3744"/>
        <w:gridCol w:w="131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計画への反映</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編集注記：パブリックコメントの実施後に記入します。行数は意見件数に応じて調整します。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資5　用語の解説</w:t>
      </w:r>
    </w:p>
    <w:p>
      <w:pPr>
        <w:spacing w:after="120" w:line="300"/>
      </w:pPr>
      <w:r>
        <w:rPr>
          <w:rFonts w:ascii="游ゴシック" w:cs="游ゴシック" w:eastAsia="游ゴシック" w:hAnsi="游ゴシック"/>
          <w:sz w:val="21"/>
          <w:szCs w:val="21"/>
        </w:rPr>
        <w:t xml:space="preserve">本計画で用いている用語のうち、説明を要するものを50音順に整理しました。</w:t>
      </w:r>
    </w:p>
    <w:p>
      <w:pPr>
        <w:keepNext/>
        <w:keepLines/>
        <w:spacing w:after="100" w:line="300"/>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縦覧点検・医療情報との突合を「主要3事業」としています（令和5年9月12日の指針による名称）。</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資6　基本指針の別表「確認すべき指標・状況」への対応</w:t>
      </w:r>
    </w:p>
    <w:p>
      <w:pPr>
        <w:spacing w:after="120" w:line="300"/>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621"/>
        <w:gridCol w:w="2059"/>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確認すべき指標・状況</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本計画の該当箇所</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1-5、1-8の3、2-1、施策2-1、施策2-6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二</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三</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2-1、2-5、2-8、6-3、施策4-3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四</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2-3、2-8、2-9、5-3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五</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2-4、2-5、5-4、5-8(4)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六</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5-4、5-5、2-10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七</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2-5、5-4(8)、5-4(12)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八</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1-8の1、4-6、5-4(1)、施策2-3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九</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2-6、2-8、5-5、施策1-1、施策1-2、施策4-1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2-5、施策4-3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2-3、4-7、施策4-4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一部の対応にとどまっている事項</w:t>
      </w:r>
    </w:p>
    <w:p>
      <w:pPr>
        <w:spacing w:after="120" w:line="300"/>
      </w:pPr>
      <w:r>
        <w:rPr>
          <w:rFonts w:ascii="游ゴシック" w:cs="游ゴシック" w:eastAsia="游ゴシック" w:hAnsi="游ゴシック"/>
          <w:sz w:val="21"/>
          <w:szCs w:val="21"/>
        </w:rPr>
        <w:t xml:space="preserve">上表で「一部」とした4事項について、何が対応できていないか、何で代えているかを示します。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死亡場所別の死亡数</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の地域分析に「在宅死亡者数（自宅）」の偏差値33.68が収録されていますが、値36.74の単位が「人」とされており、本村の年間死亡数に照らすと実数ではありません。同システムの出典の表記は、人口動態調査（医療計画作成支援データブックのオープンデータ）と住民基本台帳人口の両方を挙げており、人口あたりの率とみられますが分母が示されていません。人口動態統計の市町村別の公表は死亡場所別の内訳を含み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に偏差値のみを掲げ、全国平均を大きく下回ることを示しています。施策4-3に在宅医療・介護連携の課題として看取りへの対応を掲げ、看取り介護加算の算定が0.0%であること（2-5）から連携の必要性を示しています。分母の確認先は村ではなく、国のオープンデータの定義で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事業所数は「見える化」システムのサービス提供事業所数により28サービスすべてについて平成24年度から令和6年度まで把握し、2-5に掲げています。入所率・稼働率は、定員と受給者数から認知症対応型共同生活介護96.3%（令和8年度・県の整備量見込みシート）・通所介護77.8%（令和7年度・当方の算定）として算定し、5-4(5)に掲げています。従事者数は、生産年齢人口比による担い手の枠の試算（5-4(12)）で代えてい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-5）。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施設数・戸数・定員は、指定を受けた事業所について0であることを確かめています（2-5）。要介護者等である入居者の状況は、特定施設入居者生活介護の給付実績により把握できます。本村の第1号被保険者のうち月あたり3.3人が利用しており（令和7年度・5-4(1)）、村外の高齢者向け住まいに介護を受けながら住んでいる方がいることを示します。4-6に村外施設の利用による確保を掲げ、施策2-3で村外施設の情報の把握に取り組むこととしています。令和8年法律第51号による登録制の導入後は登録情報により把握できる見込みで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-5に掲げて対応としました。村の給付実績の集計を待たずに確認できたもの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編集注記：事項六・七については、必要な集計が得られた時点で該当する節に加え、本表の対応の欄を改めます。5-12(1)の据え置いた項目と重なります。事項三は在宅死亡者数の単位の確認が前提です。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資7　主な参照資料</w:t>
      </w:r>
    </w:p>
    <w:p>
      <w:pPr>
        <w:spacing w:after="120" w:line="300"/>
      </w:pPr>
      <w:r>
        <w:rPr>
          <w:rFonts w:ascii="游ゴシック" w:cs="游ゴシック" w:eastAsia="游ゴシック" w:hAnsi="游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242"/>
        <w:gridCol w:w="2808"/>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用いた箇所</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社会福祉法等の一部を改正する法律（令和8年法律第51号）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1-8、資6</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社会保障審議会介護保険部会資料（令和8年6月29日）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1-8の3</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1-8の2</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2-1、2-2、5-2</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日本の地域別将来推計人口（国立社会保障・人口問題研究所）</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2-2、5-1、5-11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2-3、2-4、2-7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2-3、2-4、2-5、2-6、5-3、5-4</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2-8、5-9、6-3</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2-7、5-6、5-7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編集注記：各表・各図の出典は本文のそれぞれの箇所に示しています。本表は区分ごとの一覧です。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資8　図表番号一覧</w:t>
      </w:r>
    </w:p>
    <w:p>
      <w:pPr>
        <w:spacing w:after="120" w:line="300"/>
      </w:pPr>
      <w:r>
        <w:rPr>
          <w:rFonts w:ascii="游ゴシック" w:cs="游ゴシック" w:eastAsia="游ゴシック" w:hAnsi="游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744"/>
        <w:gridCol w:w="1498"/>
        <w:gridCol w:w="3182"/>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出典</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性・年齢調整済み認定率の推移（要介護度の区分別）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医療と介護の連携に関する加算の算定率と全国の中での位置</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　地域分析（医療介護連携）</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厚生労働省「介護予防・日常生活支援総合事業（地域支援事業）の実施状況に関する調査」</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厚生労働省「令和8年度評価指標に係る該当状況調査票集計表」</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算定上の保険料月額と条例上の基準額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本計画の算定による</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給付適正化の取組別得点の推移（推進交付金 目標Ⅱ）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厚生労働省「評価指標に係る該当状況調査票集計表」（令和6〜8年度）により算定</w:t>
            </w:r>
          </w:p>
        </w:tc>
      </w:tr>
    </w:tbl>
    <w:p>
      <w:pPr>
        <w:spacing w:after="160" w:line="300"/>
      </w:pPr>
      <w:r>
        <w:rPr>
          <w:rFonts w:ascii="游ゴシック" w:cs="游ゴシック" w:eastAsia="游ゴシック" w:hAnsi="游ゴシック"/>
          <w:sz w:val="21"/>
          <w:szCs w:val="21"/>
        </w:rPr>
        <w:t xml:space="preserve"/>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a31bf2657abca3ddedcefc51e6537cce74d87169.png"/><Relationship Id="rId12" Type="http://schemas.openxmlformats.org/officeDocument/2006/relationships/image" Target="media/aaca7e4d3e6729a9885fc43163d7c2240dfb80be.png"/><Relationship Id="rId13" Type="http://schemas.openxmlformats.org/officeDocument/2006/relationships/image" Target="media/008e8fcbefbd3705afac82fe743f2ca91f139deb.png"/><Relationship Id="rId14" Type="http://schemas.openxmlformats.org/officeDocument/2006/relationships/image" Target="media/90b9c337d42e77d8e401fa1d702404fa2f381652.png"/><Relationship Id="rId15" Type="http://schemas.openxmlformats.org/officeDocument/2006/relationships/image" Target="media/9a94b01e6f554a1d66432be79f3a64a9e9bc1f9c.png"/><Relationship Id="rId16" Type="http://schemas.openxmlformats.org/officeDocument/2006/relationships/image" Target="media/c13b382556b6f74f9ef7930895dbca37263895b0.png"/><Relationship Id="rId17" Type="http://schemas.openxmlformats.org/officeDocument/2006/relationships/image" Target="media/262f56d567c7f6e23bdb661e2745c9b3a913147d.png"/><Relationship Id="rId18" Type="http://schemas.openxmlformats.org/officeDocument/2006/relationships/image" Target="media/60b40d71ebdeb399bc7ca4828d787b90308b55e0.png"/><Relationship Id="rId19" Type="http://schemas.openxmlformats.org/officeDocument/2006/relationships/image" Target="media/92f1b47124cf4e73ec60af37d4ed8f9fb1092eb0.png"/><Relationship Id="rId20" Type="http://schemas.openxmlformats.org/officeDocument/2006/relationships/image" Target="media/89c4b901ca057b5ec2c4ad9e0f433cd0471499d9.png"/><Relationship Id="rId21" Type="http://schemas.openxmlformats.org/officeDocument/2006/relationships/image" Target="media/4f2466eeb158b9ba7988356f43e2f29de519e841.png"/><Relationship Id="rId22" Type="http://schemas.openxmlformats.org/officeDocument/2006/relationships/image" Target="media/87448cd60bbda0fc9502757054b25801574e34fd.png"/><Relationship Id="rId23" Type="http://schemas.openxmlformats.org/officeDocument/2006/relationships/image" Target="media/cbb78c187eca48185f18fe45fce903e149e0b421.png"/><Relationship Id="rId24" Type="http://schemas.openxmlformats.org/officeDocument/2006/relationships/image" Target="media/cb6957291fc7637d3ffb43033e56c16964753fff.png"/><Relationship Id="rId25" Type="http://schemas.openxmlformats.org/officeDocument/2006/relationships/image" Target="media/2785cacca571e03bc5aeb55c44e0c3464310859c.png"/><Relationship Id="rId26" Type="http://schemas.openxmlformats.org/officeDocument/2006/relationships/image" Target="media/006169ede3d99dcbe08323d0b0f64868ea020617.png"/><Relationship Id="rId27" Type="http://schemas.openxmlformats.org/officeDocument/2006/relationships/image" Target="media/68f940da84dc8dc4c4d11f4bc2812526e5b77ab6.png"/><Relationship Id="rId28" Type="http://schemas.openxmlformats.org/officeDocument/2006/relationships/image" Target="media/c4aae76f3520550a8d58af86865bd4098163f5c2.png"/><Relationship Id="rId29" Type="http://schemas.openxmlformats.org/officeDocument/2006/relationships/image" Target="media/723447c6cbd7689a1ec64e806ebfe12b499dc876.png"/><Relationship Id="rId30" Type="http://schemas.openxmlformats.org/officeDocument/2006/relationships/image" Target="media/df7397870364abfc987013d01820c8cb4529a44a.png"/><Relationship Id="rId31" Type="http://schemas.openxmlformats.org/officeDocument/2006/relationships/image" Target="media/c869aab66d2f7fa1125ec922fe68d0809f0c95a1.png"/><Relationship Id="rId32" Type="http://schemas.openxmlformats.org/officeDocument/2006/relationships/image" Target="media/9ad0b4fa5d81bd1ad231b6264568683b9b2a55f0.png"/><Relationship Id="rId33" Type="http://schemas.openxmlformats.org/officeDocument/2006/relationships/image" Target="media/3d06d96bb60823e61760997b4189c5da52e8b50c.png"/><Relationship Id="rId34" Type="http://schemas.openxmlformats.org/officeDocument/2006/relationships/image" Target="media/7462f148abc3379be3886a4d187e883489283f96.png"/><Relationship Id="rId35" Type="http://schemas.openxmlformats.org/officeDocument/2006/relationships/image" Target="media/d9f1cd090c5ab68fed2f1e1374a9588c6d73feb4.png"/><Relationship Id="rId36" Type="http://schemas.openxmlformats.org/officeDocument/2006/relationships/image" Target="media/cbdb7c1cc66d1fa9d322a098c06a3f50febebd10.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2026-10-08T11:08:50.303Z</dcterms:created>
  <dcterms:modified xsi:type="dcterms:W3CDTF">2026-10-08T11:08:50.313Z</dcterms:modified>
</cp:coreProperties>
</file>

<file path=docProps/custom.xml><?xml version="1.0" encoding="utf-8"?>
<Properties xmlns="http://schemas.openxmlformats.org/officeDocument/2006/custom-properties" xmlns:vt="http://schemas.openxmlformats.org/officeDocument/2006/docPropsVTypes"/>
</file>