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120"/>
        <w:jc w:val="center"/>
      </w:pPr>
      <w:r>
        <w:rPr>
          <w:rFonts w:ascii="游ゴシック" w:hAnsi="游ゴシック" w:eastAsia="游ゴシック"/>
          <w:b/>
          <w:i w:val="0"/>
          <w:color w:val="2E74B5"/>
          <w:sz w:val="44"/>
        </w:rPr>
        <w:t>障がい計画</w:t>
      </w:r>
    </w:p>
    <w:p>
      <w:pPr>
        <w:spacing w:before="360" w:after="120"/>
        <w:jc w:val="center"/>
      </w:pPr>
      <w:r>
        <w:rPr>
          <w:rFonts w:ascii="游ゴシック" w:hAnsi="游ゴシック" w:eastAsia="游ゴシック"/>
          <w:b/>
          <w:i w:val="0"/>
          <w:color w:val="2E74B5"/>
          <w:sz w:val="44"/>
        </w:rPr>
        <w:t>国の動向の反映と手順の乖離の点検</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小野町第8期障がい福祉計画・第4期障がい児福祉計画</w:t>
      </w:r>
    </w:p>
    <w:p>
      <w:pPr>
        <w:spacing w:after="120"/>
        <w:jc w:val="center"/>
      </w:pPr>
      <w:r>
        <w:rPr>
          <w:rFonts w:ascii="游ゴシック" w:hAnsi="游ゴシック" w:eastAsia="游ゴシック"/>
          <w:b w:val="0"/>
          <w:i w:val="0"/>
          <w:sz w:val="26"/>
        </w:rPr>
      </w:r>
    </w:p>
    <w:p>
      <w:pPr>
        <w:spacing w:after="120"/>
        <w:jc w:val="center"/>
      </w:pPr>
      <w:r>
        <w:rPr>
          <w:rFonts w:ascii="游ゴシック" w:hAnsi="游ゴシック" w:eastAsia="游ゴシック"/>
          <w:b w:val="0"/>
          <w:i w:val="0"/>
          <w:sz w:val="26"/>
        </w:rPr>
        <w:t>令和8年10月7日</w:t>
      </w:r>
    </w:p>
    <w:p>
      <w:r>
        <w:br w:type="page"/>
      </w:r>
    </w:p>
    <w:p>
      <w:pPr>
        <w:spacing w:after="280"/>
        <w:jc w:val="center"/>
      </w:pPr>
      <w:r>
        <w:rPr>
          <w:rFonts w:ascii="游ゴシック" w:hAnsi="游ゴシック" w:eastAsia="游ゴシック"/>
          <w:b/>
          <w:i w:val="0"/>
          <w:color w:val="2E74B5"/>
          <w:sz w:val="30"/>
        </w:rPr>
        <w:t>目　次</w:t>
      </w:r>
    </w:p>
    <w:p>
      <w:pPr>
        <w:spacing w:after="200"/>
        <w:jc w:val="center"/>
      </w:pPr>
      <w:r>
        <w:rPr>
          <w:rFonts w:ascii="游ゴシック" w:hAnsi="游ゴシック" w:eastAsia="游ゴシック"/>
          <w:b w:val="0"/>
          <w:i w:val="0"/>
          <w:sz w:val="18"/>
        </w:rPr>
        <w:t>各行をクリックすると本文へ移動します。ページ番号はWordで開いた時点で更新されます</w:t>
      </w:r>
    </w:p>
    <w:p/>
    <w:p>
      <w:pPr>
        <w:sectPr>
          <w:headerReference w:type="default" r:id="rId9"/>
          <w:footerReference w:type="default" r:id="rId10"/>
          <w:pgSz w:w="11906" w:h="16838"/>
          <w:pgMar w:top="1134" w:right="1077" w:bottom="1134" w:left="1077" w:header="709" w:footer="709" w:gutter="0"/>
          <w:cols w:space="720"/>
          <w:docGrid w:linePitch="360"/>
        </w:sectPr>
      </w:pPr>
    </w:p>
    <w:p>
      <w:pPr>
        <w:pStyle w:val="Heading1"/>
        <w:keepNext/>
        <w:spacing w:before="240" w:after="100"/>
      </w:pPr>
      <w:bookmarkStart w:id="101" w:name="_Toc_001"/>
      <w:r>
        <w:rPr>
          <w:rFonts w:ascii="游ゴシック" w:hAnsi="游ゴシック" w:eastAsia="游ゴシック"/>
          <w:b/>
          <w:i w:val="0"/>
          <w:color w:val="2E74B5"/>
          <w:sz w:val="30"/>
        </w:rPr>
        <w:t>本書について</w:t>
      </w:r>
      <w:bookmarkEnd w:id="101"/>
    </w:p>
    <w:p>
      <w:pPr>
        <w:spacing w:before="60" w:after="60"/>
      </w:pPr>
      <w:r>
        <w:rPr>
          <w:rFonts w:ascii="游ゴシック" w:hAnsi="游ゴシック" w:eastAsia="游ゴシック"/>
          <w:b w:val="0"/>
          <w:i w:val="0"/>
          <w:sz w:val="21"/>
        </w:rPr>
        <w:t>本ブランチの障がい計画の作業と、国の動向及び他案件で確立した手順を突き合わせ、乖離している点をまとめたものです。</w:t>
      </w:r>
    </w:p>
    <w:p>
      <w:pPr>
        <w:keepNext/>
        <w:spacing w:before="200" w:after="40"/>
      </w:pPr>
      <w:r>
        <w:rPr>
          <w:rFonts w:ascii="游ゴシック" w:hAnsi="游ゴシック" w:eastAsia="游ゴシック"/>
          <w:b/>
          <w:i w:val="0"/>
          <w:color w:val="1F4D78"/>
          <w:sz w:val="22"/>
        </w:rPr>
        <w:t>【表1】本書で突き合わせたもの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2608"/>
        <w:gridCol w:w="7143"/>
      </w:tblGrid>
      <w:tr>
        <w:tc>
          <w:tcPr>
            <w:tcW w:type="dxa" w:w="2608"/>
            <w:shd w:val="clear" w:fill="1F3864"/>
            <w:vAlign w:val="center"/>
          </w:tcPr>
          <w:p>
            <w:pPr>
              <w:spacing w:before="20" w:after="20"/>
              <w:jc w:val="center"/>
            </w:pPr>
            <w:r>
              <w:rPr>
                <w:rFonts w:ascii="游ゴシック" w:hAnsi="游ゴシック" w:eastAsia="游ゴシック"/>
                <w:b/>
                <w:i w:val="0"/>
                <w:color w:val="FFFFFF"/>
                <w:sz w:val="17"/>
              </w:rPr>
              <w:t>突き合わせたもの</w:t>
            </w:r>
          </w:p>
        </w:tc>
        <w:tc>
          <w:tcPr>
            <w:tcW w:type="dxa" w:w="7143"/>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2608"/>
            <w:vAlign w:val="center"/>
          </w:tcPr>
          <w:p>
            <w:pPr>
              <w:spacing w:before="20" w:after="20"/>
            </w:pPr>
            <w:r>
              <w:rPr>
                <w:rFonts w:ascii="游ゴシック" w:hAnsi="游ゴシック" w:eastAsia="游ゴシック"/>
                <w:b w:val="0"/>
                <w:i w:val="0"/>
                <w:sz w:val="17"/>
              </w:rPr>
              <w:t>受領した設定シート</w:t>
            </w:r>
          </w:p>
        </w:tc>
        <w:tc>
          <w:tcPr>
            <w:tcW w:type="dxa" w:w="7143"/>
            <w:vAlign w:val="center"/>
          </w:tcPr>
          <w:p>
            <w:pPr>
              <w:spacing w:before="20" w:after="20"/>
            </w:pPr>
            <w:r>
              <w:rPr>
                <w:rFonts w:ascii="游ゴシック" w:hAnsi="游ゴシック" w:eastAsia="游ゴシック"/>
                <w:b w:val="0"/>
                <w:i w:val="0"/>
                <w:sz w:val="17"/>
              </w:rPr>
              <w:t>見込量目標値設定シート（令和8年9月7日・9シート）</w:t>
            </w:r>
          </w:p>
        </w:tc>
      </w:tr>
      <w:tr>
        <w:tc>
          <w:tcPr>
            <w:tcW w:type="dxa" w:w="2608"/>
            <w:vAlign w:val="center"/>
          </w:tcPr>
          <w:p>
            <w:pPr>
              <w:spacing w:before="20" w:after="20"/>
            </w:pPr>
            <w:r>
              <w:rPr>
                <w:rFonts w:ascii="游ゴシック" w:hAnsi="游ゴシック" w:eastAsia="游ゴシック"/>
                <w:b w:val="0"/>
                <w:i w:val="0"/>
                <w:sz w:val="17"/>
              </w:rPr>
              <w:t>骨子案</w:t>
            </w:r>
          </w:p>
        </w:tc>
        <w:tc>
          <w:tcPr>
            <w:tcW w:type="dxa" w:w="7143"/>
            <w:vAlign w:val="center"/>
          </w:tcPr>
          <w:p>
            <w:pPr>
              <w:spacing w:before="20" w:after="20"/>
            </w:pPr>
            <w:r>
              <w:rPr>
                <w:rFonts w:ascii="游ゴシック" w:hAnsi="游ゴシック" w:eastAsia="游ゴシック"/>
                <w:b w:val="0"/>
                <w:i w:val="0"/>
                <w:sz w:val="17"/>
              </w:rPr>
              <w:t>おのまち障がい者計画・第4期障がい児福祉計画・第8期障がい福祉計画 骨子案 第2版（令和8年10月6日）</w:t>
            </w:r>
          </w:p>
        </w:tc>
      </w:tr>
      <w:tr>
        <w:tc>
          <w:tcPr>
            <w:tcW w:type="dxa" w:w="2608"/>
            <w:vAlign w:val="center"/>
          </w:tcPr>
          <w:p>
            <w:pPr>
              <w:spacing w:before="20" w:after="20"/>
            </w:pPr>
            <w:r>
              <w:rPr>
                <w:rFonts w:ascii="游ゴシック" w:hAnsi="游ゴシック" w:eastAsia="游ゴシック"/>
                <w:b w:val="0"/>
                <w:i w:val="0"/>
                <w:sz w:val="17"/>
              </w:rPr>
              <w:t>国の告示</w:t>
            </w:r>
          </w:p>
        </w:tc>
        <w:tc>
          <w:tcPr>
            <w:tcW w:type="dxa" w:w="7143"/>
            <w:vAlign w:val="center"/>
          </w:tcPr>
          <w:p>
            <w:pPr>
              <w:spacing w:before="20" w:after="20"/>
            </w:pPr>
            <w:r>
              <w:rPr>
                <w:rFonts w:ascii="游ゴシック" w:hAnsi="游ゴシック" w:eastAsia="游ゴシック"/>
                <w:b w:val="0"/>
                <w:i w:val="0"/>
                <w:sz w:val="17"/>
              </w:rPr>
              <w:t>基本指針（令和8年3月31日 こども家庭庁・厚生労働省告示第4号）</w:t>
            </w:r>
          </w:p>
        </w:tc>
      </w:tr>
      <w:tr>
        <w:tc>
          <w:tcPr>
            <w:tcW w:type="dxa" w:w="2608"/>
            <w:vAlign w:val="center"/>
          </w:tcPr>
          <w:p>
            <w:pPr>
              <w:spacing w:before="20" w:after="20"/>
            </w:pPr>
            <w:r>
              <w:rPr>
                <w:rFonts w:ascii="游ゴシック" w:hAnsi="游ゴシック" w:eastAsia="游ゴシック"/>
                <w:b w:val="0"/>
                <w:i w:val="0"/>
                <w:sz w:val="17"/>
              </w:rPr>
              <w:t>国の改正</w:t>
            </w:r>
          </w:p>
        </w:tc>
        <w:tc>
          <w:tcPr>
            <w:tcW w:type="dxa" w:w="7143"/>
            <w:vAlign w:val="center"/>
          </w:tcPr>
          <w:p>
            <w:pPr>
              <w:spacing w:before="20" w:after="20"/>
            </w:pPr>
            <w:r>
              <w:rPr>
                <w:rFonts w:ascii="游ゴシック" w:hAnsi="游ゴシック" w:eastAsia="游ゴシック"/>
                <w:b w:val="0"/>
                <w:i w:val="0"/>
                <w:sz w:val="17"/>
              </w:rPr>
              <w:t>障害者部会 第157回（令和8年7月10日）・第158回及び障害児支援部会 第21回（令和8年8月19日）の各資料</w:t>
            </w:r>
          </w:p>
        </w:tc>
      </w:tr>
      <w:tr>
        <w:tc>
          <w:tcPr>
            <w:tcW w:type="dxa" w:w="2608"/>
            <w:vAlign w:val="center"/>
          </w:tcPr>
          <w:p>
            <w:pPr>
              <w:keepNext/>
              <w:spacing w:before="20" w:after="20"/>
            </w:pPr>
            <w:r>
              <w:rPr>
                <w:rFonts w:ascii="游ゴシック" w:hAnsi="游ゴシック" w:eastAsia="游ゴシック"/>
                <w:b w:val="0"/>
                <w:i w:val="0"/>
                <w:sz w:val="17"/>
              </w:rPr>
              <w:t>国の通達</w:t>
            </w:r>
          </w:p>
        </w:tc>
        <w:tc>
          <w:tcPr>
            <w:tcW w:type="dxa" w:w="7143"/>
            <w:vAlign w:val="center"/>
          </w:tcPr>
          <w:p>
            <w:pPr>
              <w:keepNext/>
              <w:spacing w:before="20" w:after="20"/>
            </w:pPr>
            <w:r>
              <w:rPr>
                <w:rFonts w:ascii="游ゴシック" w:hAnsi="游ゴシック" w:eastAsia="游ゴシック"/>
                <w:b w:val="0"/>
                <w:i w:val="0"/>
                <w:sz w:val="17"/>
              </w:rPr>
              <w:t>障害福祉計画策定に係る実態調査及びPDCAサイクルに関するマニュアル（令和8年8月）</w:t>
            </w:r>
          </w:p>
        </w:tc>
      </w:tr>
      <w:tr>
        <w:tc>
          <w:tcPr>
            <w:tcW w:type="dxa" w:w="2608"/>
            <w:vAlign w:val="center"/>
          </w:tcPr>
          <w:p>
            <w:pPr>
              <w:spacing w:before="20" w:after="20"/>
            </w:pPr>
            <w:r>
              <w:rPr>
                <w:rFonts w:ascii="游ゴシック" w:hAnsi="游ゴシック" w:eastAsia="游ゴシック"/>
                <w:b w:val="0"/>
                <w:i w:val="0"/>
                <w:sz w:val="17"/>
              </w:rPr>
              <w:t>他案件の手順</w:t>
            </w:r>
          </w:p>
        </w:tc>
        <w:tc>
          <w:tcPr>
            <w:tcW w:type="dxa" w:w="7143"/>
            <w:vAlign w:val="center"/>
          </w:tcPr>
          <w:p>
            <w:pPr>
              <w:spacing w:before="20" w:after="20"/>
            </w:pPr>
            <w:r>
              <w:rPr>
                <w:rFonts w:ascii="游ゴシック" w:hAnsi="游ゴシック" w:eastAsia="游ゴシック"/>
                <w:b w:val="0"/>
                <w:i w:val="0"/>
                <w:sz w:val="17"/>
              </w:rPr>
              <w:t>他団体の見込量算定の6手順・MECEチェック・分母の規約</w:t>
            </w:r>
          </w:p>
        </w:tc>
      </w:tr>
    </w:tbl>
    <w:p>
      <w:pPr>
        <w:spacing w:after="40"/>
      </w:pPr>
    </w:p>
    <w:p>
      <w:pPr>
        <w:spacing w:before="60" w:after="60"/>
      </w:pPr>
      <w:r>
        <w:rPr>
          <w:rFonts w:ascii="游ゴシック" w:hAnsi="游ゴシック" w:eastAsia="游ゴシック"/>
          <w:b/>
          <w:i w:val="0"/>
          <w:sz w:val="21"/>
        </w:rPr>
        <w:t>受領した設定シートは書き換えていません。</w:t>
      </w:r>
      <w:r>
        <w:rPr>
          <w:rFonts w:ascii="游ゴシック" w:hAnsi="游ゴシック" w:eastAsia="游ゴシック"/>
          <w:b w:val="0"/>
          <w:i w:val="0"/>
          <w:sz w:val="21"/>
        </w:rPr>
        <w:t>所見を述べるだけにしています。また、設定シートが自ら挙げている確認事項（10件）と重複する指摘は挙げていません。</w:t>
      </w:r>
    </w:p>
    <w:p>
      <w:pPr>
        <w:pStyle w:val="Heading2"/>
        <w:keepNext/>
        <w:spacing w:before="180" w:after="100"/>
      </w:pPr>
      <w:bookmarkStart w:id="102" w:name="_Toc_002"/>
      <w:r>
        <w:rPr>
          <w:rFonts w:ascii="游ゴシック" w:hAnsi="游ゴシック" w:eastAsia="游ゴシック"/>
          <w:b/>
          <w:i w:val="0"/>
          <w:color w:val="2E74B5"/>
          <w:sz w:val="25"/>
        </w:rPr>
        <w:t>先に、よくできている点</w:t>
      </w:r>
      <w:bookmarkEnd w:id="102"/>
    </w:p>
    <w:p>
      <w:pPr>
        <w:spacing w:before="60" w:after="60"/>
      </w:pPr>
      <w:r>
        <w:rPr>
          <w:rFonts w:ascii="游ゴシック" w:hAnsi="游ゴシック" w:eastAsia="游ゴシック"/>
          <w:b w:val="0"/>
          <w:i w:val="0"/>
          <w:sz w:val="21"/>
        </w:rPr>
        <w:t>直すべき所だけを並べると、作業全体の出来を見誤らせます。次の点はそのまま進めてよいと考えます。</w:t>
      </w:r>
    </w:p>
    <w:p>
      <w:pPr>
        <w:spacing w:before="40" w:after="40"/>
        <w:ind w:left="227"/>
      </w:pPr>
      <w:r>
        <w:rPr>
          <w:rFonts w:ascii="游ゴシック" w:hAnsi="游ゴシック" w:eastAsia="游ゴシック"/>
          <w:b w:val="0"/>
          <w:i w:val="0"/>
          <w:sz w:val="21"/>
        </w:rPr>
        <w:t>・サービスの区分が国の立て方と合っている。障害福祉サービス22区分（訪問系5・日中活動系11・居住系3・相談支援3）は別表第一の二〜五と一致し、短期入所を福祉型・医療型に分け、令和7年10月に創設された就労選択支援も行を立てている。</w:t>
      </w:r>
    </w:p>
    <w:p>
      <w:pPr>
        <w:spacing w:before="40" w:after="40"/>
        <w:ind w:left="227"/>
      </w:pPr>
      <w:r>
        <w:rPr>
          <w:rFonts w:ascii="游ゴシック" w:hAnsi="游ゴシック" w:eastAsia="游ゴシック"/>
          <w:b w:val="0"/>
          <w:i w:val="0"/>
          <w:sz w:val="21"/>
        </w:rPr>
        <w:t>・算定方法をサービスごとに選び分けている。5つの方法を使い分け、どのサービスにどれを用いたかが列で追える。一律の伸び率を全サービスに掛ける作りになっていない。</w:t>
      </w:r>
    </w:p>
    <w:p>
      <w:pPr>
        <w:spacing w:before="40" w:after="40"/>
        <w:ind w:left="227"/>
      </w:pPr>
      <w:r>
        <w:rPr>
          <w:rFonts w:ascii="游ゴシック" w:hAnsi="游ゴシック" w:eastAsia="游ゴシック"/>
          <w:b w:val="0"/>
          <w:i w:val="0"/>
          <w:sz w:val="21"/>
        </w:rPr>
        <w:t>・確認事項のシートが機能している。最優先2件・高4件・中4件が優先度とともに整理され、「このシートの要確認を解消すると成果目標と見込量が確定する」という立て方になっている。本書の指摘はこれと重複しないものだけを挙げた。</w:t>
      </w:r>
    </w:p>
    <w:p>
      <w:pPr>
        <w:spacing w:before="40" w:after="40"/>
        <w:ind w:left="227"/>
      </w:pPr>
      <w:r>
        <w:rPr>
          <w:rFonts w:ascii="游ゴシック" w:hAnsi="游ゴシック" w:eastAsia="游ゴシック"/>
          <w:b w:val="0"/>
          <w:i w:val="0"/>
          <w:sz w:val="21"/>
        </w:rPr>
        <w:t>・国の改正を待つ姿勢が記録されている。参考資料に「国の基本指針は令和8年10月に追加改正予定のため、計画素案確定前に最新版を確認」と書き、確認事項にも優先度「中」で挙げている。本書1章はこの宿題に答えるものである。</w:t>
      </w:r>
    </w:p>
    <w:p>
      <w:pPr>
        <w:spacing w:before="40" w:after="40"/>
        <w:ind w:left="227"/>
      </w:pPr>
      <w:r>
        <w:rPr>
          <w:rFonts w:ascii="游ゴシック" w:hAnsi="游ゴシック" w:eastAsia="游ゴシック"/>
          <w:b w:val="0"/>
          <w:i w:val="0"/>
          <w:sz w:val="21"/>
        </w:rPr>
        <w:t>・骨子案 第2版が国の新規目標を取り込んでいる。のぞまないセルフプランの解消、情報公表制度の公表率・更新率、インクルージョン推進の協議の場の設置、障害福祉人材の確保・生産性向上のいずれも成果目標の分野に置かれている。</w:t>
      </w:r>
    </w:p>
    <w:p>
      <w:pPr>
        <w:spacing w:before="40" w:after="40"/>
        <w:ind w:left="227"/>
      </w:pPr>
      <w:r>
        <w:rPr>
          <w:rFonts w:ascii="游ゴシック" w:hAnsi="游ゴシック" w:eastAsia="游ゴシック"/>
          <w:b w:val="0"/>
          <w:i w:val="0"/>
          <w:sz w:val="21"/>
        </w:rPr>
        <w:t>・障害児通所支援に人口比率型を用いている。マニュアル②人口当たり利用率に合致する方法であり、年少人口の減少を反映しやすい。</w:t>
      </w:r>
    </w:p>
    <w:p>
      <w:pPr>
        <w:pStyle w:val="Heading1"/>
        <w:keepNext/>
        <w:spacing w:before="240" w:after="100"/>
      </w:pPr>
      <w:bookmarkStart w:id="103" w:name="_Toc_003"/>
      <w:r>
        <w:rPr>
          <w:rFonts w:ascii="游ゴシック" w:hAnsi="游ゴシック" w:eastAsia="游ゴシック"/>
          <w:b/>
          <w:i w:val="0"/>
          <w:color w:val="2E74B5"/>
          <w:sz w:val="30"/>
        </w:rPr>
        <w:t>1　国の動向の現在地</w:t>
      </w:r>
      <w:bookmarkEnd w:id="103"/>
    </w:p>
    <w:p>
      <w:pPr>
        <w:spacing w:before="60" w:after="60"/>
      </w:pPr>
      <w:r>
        <w:rPr>
          <w:rFonts w:ascii="游ゴシック" w:hAnsi="游ゴシック" w:eastAsia="游ゴシック"/>
          <w:b w:val="0"/>
          <w:i w:val="0"/>
          <w:sz w:val="21"/>
        </w:rPr>
        <w:t>設定シートは参考資料に「国の基本指針は令和8年10月に追加改正予定のため、計画素案確定前に最新版を確認」と書き、確認事項にも優先度「中」で「国基本指針の令和8年10月改正内容／9月7日時点未告示」を挙げています。</w:t>
      </w:r>
      <w:r>
        <w:rPr>
          <w:rFonts w:ascii="游ゴシック" w:hAnsi="游ゴシック" w:eastAsia="游ゴシック"/>
          <w:b/>
          <w:i w:val="0"/>
          <w:sz w:val="21"/>
        </w:rPr>
        <w:t>この宿題に答えると次のとおりです。</w:t>
      </w:r>
    </w:p>
    <w:p>
      <w:pPr>
        <w:keepNext/>
        <w:spacing w:before="200" w:after="40"/>
      </w:pPr>
      <w:r>
        <w:rPr>
          <w:rFonts w:ascii="游ゴシック" w:hAnsi="游ゴシック" w:eastAsia="游ゴシック"/>
          <w:b/>
          <w:i w:val="0"/>
          <w:color w:val="1F4D78"/>
          <w:sz w:val="22"/>
        </w:rPr>
        <w:t>【表2】国の動向の現在地</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134"/>
        <w:gridCol w:w="2381"/>
        <w:gridCol w:w="2268"/>
        <w:gridCol w:w="3969"/>
      </w:tblGrid>
      <w:tr>
        <w:tc>
          <w:tcPr>
            <w:tcW w:type="dxa" w:w="113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381"/>
            <w:shd w:val="clear" w:fill="1F3864"/>
            <w:vAlign w:val="center"/>
          </w:tcPr>
          <w:p>
            <w:pPr>
              <w:spacing w:before="20" w:after="20"/>
              <w:jc w:val="center"/>
            </w:pPr>
            <w:r>
              <w:rPr>
                <w:rFonts w:ascii="游ゴシック" w:hAnsi="游ゴシック" w:eastAsia="游ゴシック"/>
                <w:b/>
                <w:i w:val="0"/>
                <w:color w:val="FFFFFF"/>
                <w:sz w:val="17"/>
              </w:rPr>
              <w:t>名称</w:t>
            </w:r>
          </w:p>
        </w:tc>
        <w:tc>
          <w:tcPr>
            <w:tcW w:type="dxa" w:w="2268"/>
            <w:shd w:val="clear" w:fill="1F3864"/>
            <w:vAlign w:val="center"/>
          </w:tcPr>
          <w:p>
            <w:pPr>
              <w:spacing w:before="20" w:after="20"/>
              <w:jc w:val="center"/>
            </w:pPr>
            <w:r>
              <w:rPr>
                <w:rFonts w:ascii="游ゴシック" w:hAnsi="游ゴシック" w:eastAsia="游ゴシック"/>
                <w:b/>
                <w:i w:val="0"/>
                <w:color w:val="FFFFFF"/>
                <w:sz w:val="17"/>
              </w:rPr>
              <w:t>番号・日付</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内容と計画への効き方</w:t>
            </w:r>
          </w:p>
        </w:tc>
      </w:tr>
      <w:tr>
        <w:tc>
          <w:tcPr>
            <w:tcW w:type="dxa" w:w="1134"/>
            <w:vAlign w:val="center"/>
          </w:tcPr>
          <w:p>
            <w:pPr>
              <w:spacing w:before="20" w:after="20"/>
            </w:pPr>
            <w:r>
              <w:rPr>
                <w:rFonts w:ascii="游ゴシック" w:hAnsi="游ゴシック" w:eastAsia="游ゴシック"/>
                <w:b w:val="0"/>
                <w:i w:val="0"/>
                <w:sz w:val="17"/>
              </w:rPr>
              <w:t>告示（現行）</w:t>
            </w:r>
          </w:p>
        </w:tc>
        <w:tc>
          <w:tcPr>
            <w:tcW w:type="dxa" w:w="2381"/>
            <w:vAlign w:val="center"/>
          </w:tcPr>
          <w:p>
            <w:pPr>
              <w:spacing w:before="20" w:after="20"/>
            </w:pPr>
            <w:r>
              <w:rPr>
                <w:rFonts w:ascii="游ゴシック" w:hAnsi="游ゴシック" w:eastAsia="游ゴシック"/>
                <w:b w:val="0"/>
                <w:i w:val="0"/>
                <w:sz w:val="17"/>
              </w:rPr>
              <w:t>障害福祉サービス等及び障害児通所支援等の円滑な実施を確保するための基本的な指針</w:t>
            </w:r>
          </w:p>
        </w:tc>
        <w:tc>
          <w:tcPr>
            <w:tcW w:type="dxa" w:w="2268"/>
            <w:vAlign w:val="center"/>
          </w:tcPr>
          <w:p>
            <w:pPr>
              <w:spacing w:before="20" w:after="20"/>
            </w:pPr>
            <w:r>
              <w:rPr>
                <w:rFonts w:ascii="游ゴシック" w:hAnsi="游ゴシック" w:eastAsia="游ゴシック"/>
                <w:b w:val="0"/>
                <w:i w:val="0"/>
                <w:sz w:val="17"/>
              </w:rPr>
              <w:t>令和8年3月31日 こども家庭庁・厚生労働省告示第4号（全63頁）</w:t>
            </w:r>
          </w:p>
        </w:tc>
        <w:tc>
          <w:tcPr>
            <w:tcW w:type="dxa" w:w="3969"/>
            <w:vAlign w:val="center"/>
          </w:tcPr>
          <w:p>
            <w:pPr>
              <w:spacing w:before="20" w:after="20"/>
            </w:pPr>
            <w:r>
              <w:rPr>
                <w:rFonts w:ascii="游ゴシック" w:hAnsi="游ゴシック" w:eastAsia="游ゴシック"/>
                <w:b w:val="0"/>
                <w:i w:val="0"/>
                <w:sz w:val="17"/>
              </w:rPr>
              <w:t>第8期計画の根拠。成果目標は第二の一〜八、活動指標は別表第一、市町村計画の記載事項は別表第二、地域差是正は別表第五</w:t>
            </w:r>
          </w:p>
        </w:tc>
      </w:tr>
      <w:tr>
        <w:tc>
          <w:tcPr>
            <w:tcW w:type="dxa" w:w="1134"/>
            <w:vAlign w:val="center"/>
          </w:tcPr>
          <w:p>
            <w:pPr>
              <w:spacing w:before="20" w:after="20"/>
            </w:pPr>
            <w:r>
              <w:rPr>
                <w:rFonts w:ascii="游ゴシック" w:hAnsi="游ゴシック" w:eastAsia="游ゴシック"/>
                <w:b w:val="0"/>
                <w:i w:val="0"/>
                <w:sz w:val="17"/>
              </w:rPr>
              <w:t>改正①の内容</w:t>
            </w:r>
          </w:p>
        </w:tc>
        <w:tc>
          <w:tcPr>
            <w:tcW w:type="dxa" w:w="2381"/>
            <w:vAlign w:val="center"/>
          </w:tcPr>
          <w:p>
            <w:pPr>
              <w:spacing w:before="20" w:after="20"/>
            </w:pPr>
            <w:r>
              <w:rPr>
                <w:rFonts w:ascii="游ゴシック" w:hAnsi="游ゴシック" w:eastAsia="游ゴシック"/>
                <w:b w:val="0"/>
                <w:i w:val="0"/>
                <w:sz w:val="17"/>
              </w:rPr>
              <w:t>社会福祉法等の改正を踏まえた基本指針の改正</w:t>
            </w:r>
          </w:p>
        </w:tc>
        <w:tc>
          <w:tcPr>
            <w:tcW w:type="dxa" w:w="2268"/>
            <w:vAlign w:val="center"/>
          </w:tcPr>
          <w:p>
            <w:pPr>
              <w:spacing w:before="20" w:after="20"/>
            </w:pPr>
            <w:r>
              <w:rPr>
                <w:rFonts w:ascii="游ゴシック" w:hAnsi="游ゴシック" w:eastAsia="游ゴシック"/>
                <w:b w:val="0"/>
                <w:i w:val="0"/>
                <w:sz w:val="17"/>
              </w:rPr>
              <w:t>社会保障審議会障害者部会 第157回（令和8年7月10日）資料2-2</w:t>
            </w:r>
          </w:p>
        </w:tc>
        <w:tc>
          <w:tcPr>
            <w:tcW w:type="dxa" w:w="3969"/>
            <w:vAlign w:val="center"/>
          </w:tcPr>
          <w:p>
            <w:pPr>
              <w:spacing w:before="20" w:after="20"/>
            </w:pPr>
            <w:r>
              <w:rPr>
                <w:rFonts w:ascii="游ゴシック" w:hAnsi="游ゴシック" w:eastAsia="游ゴシック"/>
                <w:b w:val="0"/>
                <w:i w:val="0"/>
                <w:sz w:val="17"/>
              </w:rPr>
              <w:t>別表第二に六の項（人材確保、ケアの充実のための生産性向上及び経営基盤の確立）を新設。期間が七の項、点検評価が八の項に繰り下がる。協議会を支援協議会（法第89条の3第1項）に改める</w:t>
            </w:r>
          </w:p>
        </w:tc>
      </w:tr>
      <w:tr>
        <w:tc>
          <w:tcPr>
            <w:tcW w:type="dxa" w:w="1134"/>
            <w:vAlign w:val="center"/>
          </w:tcPr>
          <w:p>
            <w:pPr>
              <w:spacing w:before="20" w:after="20"/>
            </w:pPr>
            <w:r>
              <w:rPr>
                <w:rFonts w:ascii="游ゴシック" w:hAnsi="游ゴシック" w:eastAsia="游ゴシック"/>
                <w:b w:val="0"/>
                <w:i w:val="0"/>
                <w:sz w:val="17"/>
              </w:rPr>
              <w:t>改正②の内容</w:t>
            </w:r>
          </w:p>
        </w:tc>
        <w:tc>
          <w:tcPr>
            <w:tcW w:type="dxa" w:w="2381"/>
            <w:vAlign w:val="center"/>
          </w:tcPr>
          <w:p>
            <w:pPr>
              <w:spacing w:before="20" w:after="20"/>
            </w:pPr>
            <w:r>
              <w:rPr>
                <w:rFonts w:ascii="游ゴシック" w:hAnsi="游ゴシック" w:eastAsia="游ゴシック"/>
                <w:b w:val="0"/>
                <w:i w:val="0"/>
                <w:sz w:val="17"/>
              </w:rPr>
              <w:t>医療的ケア児及びその家族に対する支援に関する法律の改正を踏まえた基本指針の改正</w:t>
            </w:r>
          </w:p>
        </w:tc>
        <w:tc>
          <w:tcPr>
            <w:tcW w:type="dxa" w:w="2268"/>
            <w:vAlign w:val="center"/>
          </w:tcPr>
          <w:p>
            <w:pPr>
              <w:spacing w:before="20" w:after="20"/>
            </w:pPr>
            <w:r>
              <w:rPr>
                <w:rFonts w:ascii="游ゴシック" w:hAnsi="游ゴシック" w:eastAsia="游ゴシック"/>
                <w:b w:val="0"/>
                <w:i w:val="0"/>
                <w:sz w:val="17"/>
              </w:rPr>
              <w:t>障害児支援部会 第21回・障害者部会 第158回（令和8年8月19日）資料1-2</w:t>
            </w:r>
          </w:p>
        </w:tc>
        <w:tc>
          <w:tcPr>
            <w:tcW w:type="dxa" w:w="3969"/>
            <w:vAlign w:val="center"/>
          </w:tcPr>
          <w:p>
            <w:pPr>
              <w:spacing w:before="20" w:after="20"/>
            </w:pPr>
            <w:r>
              <w:rPr>
                <w:rFonts w:ascii="游ゴシック" w:hAnsi="游ゴシック" w:eastAsia="游ゴシック"/>
                <w:b w:val="0"/>
                <w:i w:val="0"/>
                <w:sz w:val="17"/>
              </w:rPr>
              <w:t>18歳以上の医療的ケア児等を新設し、医療的ケア児等＝児＋者とする。医療的ケア児支援センターを医療的ケア児等支援センターに、協議の場を医療的ケア児等支援地域協議会（法第18条の2第1項）に改める</w:t>
            </w:r>
          </w:p>
        </w:tc>
      </w:tr>
      <w:tr>
        <w:tc>
          <w:tcPr>
            <w:tcW w:type="dxa" w:w="1134"/>
            <w:vAlign w:val="center"/>
          </w:tcPr>
          <w:p>
            <w:pPr>
              <w:spacing w:before="20" w:after="20"/>
            </w:pPr>
            <w:r>
              <w:rPr>
                <w:rFonts w:ascii="游ゴシック" w:hAnsi="游ゴシック" w:eastAsia="游ゴシック"/>
                <w:b w:val="0"/>
                <w:i w:val="0"/>
                <w:sz w:val="17"/>
              </w:rPr>
              <w:t>手続の現在地</w:t>
            </w:r>
          </w:p>
        </w:tc>
        <w:tc>
          <w:tcPr>
            <w:tcW w:type="dxa" w:w="2381"/>
            <w:vAlign w:val="center"/>
          </w:tcPr>
          <w:p>
            <w:pPr>
              <w:spacing w:before="20" w:after="20"/>
            </w:pPr>
            <w:r>
              <w:rPr>
                <w:rFonts w:ascii="游ゴシック" w:hAnsi="游ゴシック" w:eastAsia="游ゴシック"/>
                <w:b w:val="0"/>
                <w:i w:val="0"/>
                <w:sz w:val="17"/>
              </w:rPr>
              <w:t>基本指針の一部を改正する件（案）に関する意見の募集</w:t>
            </w:r>
          </w:p>
        </w:tc>
        <w:tc>
          <w:tcPr>
            <w:tcW w:type="dxa" w:w="2268"/>
            <w:vAlign w:val="center"/>
          </w:tcPr>
          <w:p>
            <w:pPr>
              <w:spacing w:before="20" w:after="20"/>
            </w:pPr>
            <w:r>
              <w:rPr>
                <w:rFonts w:ascii="游ゴシック" w:hAnsi="游ゴシック" w:eastAsia="游ゴシック"/>
                <w:b w:val="0"/>
                <w:i w:val="0"/>
                <w:sz w:val="17"/>
              </w:rPr>
              <w:t>e-Govパブリック・コメント　令和8年8月26日公示・9月24日受付締切</w:t>
            </w:r>
          </w:p>
        </w:tc>
        <w:tc>
          <w:tcPr>
            <w:tcW w:type="dxa" w:w="3969"/>
            <w:vAlign w:val="center"/>
          </w:tcPr>
          <w:p>
            <w:pPr>
              <w:spacing w:before="20" w:after="20"/>
            </w:pPr>
            <w:r>
              <w:rPr>
                <w:rFonts w:ascii="游ゴシック" w:hAnsi="游ゴシック" w:eastAsia="游ゴシック"/>
                <w:b/>
                <w:i w:val="0"/>
                <w:sz w:val="17"/>
              </w:rPr>
              <w:t>設定シートが「9月7日時点未告示」として挙げている宿題の答えがここにある。</w:t>
            </w:r>
            <w:r>
              <w:rPr>
                <w:rFonts w:ascii="游ゴシック" w:hAnsi="游ゴシック" w:eastAsia="游ゴシック"/>
                <w:b w:val="0"/>
                <w:i w:val="0"/>
                <w:sz w:val="17"/>
              </w:rPr>
              <w:t>パブリックコメントは9月24日に締め切られており、施行は令和9年4月1日が予定されている。10月中の告示が見込まれるため、計画素案の確定前に発出状況を確かめる</w:t>
            </w:r>
          </w:p>
        </w:tc>
      </w:tr>
      <w:tr>
        <w:tc>
          <w:tcPr>
            <w:tcW w:type="dxa" w:w="1134"/>
            <w:vAlign w:val="center"/>
          </w:tcPr>
          <w:p>
            <w:pPr>
              <w:keepNext/>
              <w:spacing w:before="20" w:after="20"/>
            </w:pPr>
            <w:r>
              <w:rPr>
                <w:rFonts w:ascii="游ゴシック" w:hAnsi="游ゴシック" w:eastAsia="游ゴシック"/>
                <w:b w:val="0"/>
                <w:i w:val="0"/>
                <w:sz w:val="17"/>
              </w:rPr>
              <w:t>通達</w:t>
            </w:r>
          </w:p>
        </w:tc>
        <w:tc>
          <w:tcPr>
            <w:tcW w:type="dxa" w:w="2381"/>
            <w:vAlign w:val="center"/>
          </w:tcPr>
          <w:p>
            <w:pPr>
              <w:keepNext/>
              <w:spacing w:before="20" w:after="20"/>
            </w:pPr>
            <w:r>
              <w:rPr>
                <w:rFonts w:ascii="游ゴシック" w:hAnsi="游ゴシック" w:eastAsia="游ゴシック"/>
                <w:b w:val="0"/>
                <w:i w:val="0"/>
                <w:sz w:val="17"/>
              </w:rPr>
              <w:t>障害福祉計画策定に係る実態調査及びPDCAサイクルに関するマニュアル</w:t>
            </w:r>
          </w:p>
        </w:tc>
        <w:tc>
          <w:tcPr>
            <w:tcW w:type="dxa" w:w="2268"/>
            <w:vAlign w:val="center"/>
          </w:tcPr>
          <w:p>
            <w:pPr>
              <w:keepNext/>
              <w:spacing w:before="20" w:after="20"/>
            </w:pPr>
            <w:r>
              <w:rPr>
                <w:rFonts w:ascii="游ゴシック" w:hAnsi="游ゴシック" w:eastAsia="游ゴシック"/>
                <w:b w:val="0"/>
                <w:i w:val="0"/>
                <w:sz w:val="17"/>
              </w:rPr>
              <w:t>令和8年8月（全81頁）。令和8年8月19日付け厚生労働省企画課・こども家庭庁障害児支援課事務連絡により発出</w:t>
            </w:r>
          </w:p>
        </w:tc>
        <w:tc>
          <w:tcPr>
            <w:tcW w:type="dxa" w:w="3969"/>
            <w:vAlign w:val="center"/>
          </w:tcPr>
          <w:p>
            <w:pPr>
              <w:keepNext/>
              <w:spacing w:before="20" w:after="20"/>
            </w:pPr>
            <w:r>
              <w:rPr>
                <w:rFonts w:ascii="游ゴシック" w:hAnsi="游ゴシック" w:eastAsia="游ゴシック"/>
                <w:b/>
                <w:i w:val="0"/>
                <w:sz w:val="17"/>
              </w:rPr>
              <w:t>設定シートの参考資料に載っていない。</w:t>
            </w:r>
            <w:r>
              <w:rPr>
                <w:rFonts w:ascii="游ゴシック" w:hAnsi="游ゴシック" w:eastAsia="游ゴシック"/>
                <w:b w:val="0"/>
                <w:i w:val="0"/>
                <w:sz w:val="17"/>
              </w:rPr>
              <w:t>Ⅰ(7)が見込量の推計方法を①変化率の平均・②人口当たり利用率の2つとし、③地域差の是正・④総量規制等の調整と、（参考）アンケートを重ねる手順を添えている</w:t>
            </w:r>
          </w:p>
        </w:tc>
      </w:tr>
      <w:tr>
        <w:tc>
          <w:tcPr>
            <w:tcW w:type="dxa" w:w="1134"/>
            <w:vAlign w:val="center"/>
          </w:tcPr>
          <w:p>
            <w:pPr>
              <w:spacing w:before="20" w:after="20"/>
            </w:pPr>
            <w:r>
              <w:rPr>
                <w:rFonts w:ascii="游ゴシック" w:hAnsi="游ゴシック" w:eastAsia="游ゴシック"/>
                <w:b w:val="0"/>
                <w:i w:val="0"/>
                <w:sz w:val="17"/>
              </w:rPr>
              <w:t>通達（未入手）</w:t>
            </w:r>
          </w:p>
        </w:tc>
        <w:tc>
          <w:tcPr>
            <w:tcW w:type="dxa" w:w="2381"/>
            <w:vAlign w:val="center"/>
          </w:tcPr>
          <w:p>
            <w:pPr>
              <w:spacing w:before="20" w:after="20"/>
            </w:pPr>
            <w:r>
              <w:rPr>
                <w:rFonts w:ascii="游ゴシック" w:hAnsi="游ゴシック" w:eastAsia="游ゴシック"/>
                <w:b w:val="0"/>
                <w:i w:val="0"/>
                <w:sz w:val="17"/>
              </w:rPr>
              <w:t>基本指針の改正について／第4期障害児福祉計画の策定に係る留意事項について</w:t>
            </w:r>
          </w:p>
        </w:tc>
        <w:tc>
          <w:tcPr>
            <w:tcW w:type="dxa" w:w="2268"/>
            <w:vAlign w:val="center"/>
          </w:tcPr>
          <w:p>
            <w:pPr>
              <w:spacing w:before="20" w:after="20"/>
            </w:pPr>
            <w:r>
              <w:rPr>
                <w:rFonts w:ascii="游ゴシック" w:hAnsi="游ゴシック" w:eastAsia="游ゴシック"/>
                <w:b w:val="0"/>
                <w:i w:val="0"/>
                <w:sz w:val="17"/>
              </w:rPr>
              <w:t>令和8年3月31日 障企発0331第2号・こ支障第87号／令和8年4月20日 事務連絡</w:t>
            </w:r>
          </w:p>
        </w:tc>
        <w:tc>
          <w:tcPr>
            <w:tcW w:type="dxa" w:w="3969"/>
            <w:vAlign w:val="center"/>
          </w:tcPr>
          <w:p>
            <w:pPr>
              <w:spacing w:before="20" w:after="20"/>
            </w:pPr>
            <w:r>
              <w:rPr>
                <w:rFonts w:ascii="游ゴシック" w:hAnsi="游ゴシック" w:eastAsia="游ゴシック"/>
                <w:b w:val="0"/>
                <w:i w:val="0"/>
                <w:sz w:val="17"/>
              </w:rPr>
              <w:t>上記マニュアルの事務連絡が参照しているが当方で取得できていない。県への提供依頼に加える</w:t>
            </w:r>
          </w:p>
        </w:tc>
      </w:tr>
    </w:tbl>
    <w:p>
      <w:pPr>
        <w:spacing w:after="40"/>
      </w:pPr>
    </w:p>
    <w:p>
      <w:pPr>
        <w:spacing w:before="60" w:after="60"/>
      </w:pPr>
      <w:r>
        <w:rPr>
          <w:rFonts w:ascii="游ゴシック" w:hAnsi="游ゴシック" w:eastAsia="游ゴシック"/>
          <w:b w:val="0"/>
          <w:i w:val="0"/>
          <w:sz w:val="21"/>
        </w:rPr>
        <w:t>要するに、</w:t>
      </w:r>
      <w:r>
        <w:rPr>
          <w:rFonts w:ascii="游ゴシック" w:hAnsi="游ゴシック" w:eastAsia="游ゴシック"/>
          <w:b/>
          <w:i w:val="0"/>
          <w:sz w:val="21"/>
        </w:rPr>
        <w:t>改正の内容は7月10日と8月19日の部会資料で既に分かっており、手続はパブリックコメントの締切（9月24日）まで進んでいます。</w:t>
      </w:r>
      <w:r>
        <w:rPr>
          <w:rFonts w:ascii="游ゴシック" w:hAnsi="游ゴシック" w:eastAsia="游ゴシック"/>
          <w:b w:val="0"/>
          <w:i w:val="0"/>
          <w:sz w:val="21"/>
        </w:rPr>
        <w:t>告示を待つ必要があるのは条文の確定だけで、成果目標・活動指標・用語の手当ては今から進められます。</w:t>
      </w:r>
    </w:p>
    <w:p>
      <w:pPr>
        <w:spacing w:before="40" w:after="160"/>
        <w:ind w:left="113"/>
      </w:pPr>
      <w:r>
        <w:rPr>
          <w:rFonts w:ascii="游ゴシック" w:hAnsi="游ゴシック" w:eastAsia="游ゴシック"/>
          <w:b w:val="0"/>
          <w:i w:val="0"/>
          <w:sz w:val="17"/>
        </w:rPr>
        <w:t>出典　e-Govパブリック・コメント（令和8年8月26日公示・9月24日締切）、社会保障審議会障害者部会 第157回・第158回資料、こども家庭庁・厚生労働省告示第4号（令和8年3月31日）</w:t>
      </w:r>
    </w:p>
    <w:p>
      <w:pPr>
        <w:pStyle w:val="Heading1"/>
        <w:keepNext/>
        <w:spacing w:before="240" w:after="100"/>
      </w:pPr>
      <w:bookmarkStart w:id="104" w:name="_Toc_004"/>
      <w:r>
        <w:rPr>
          <w:rFonts w:ascii="游ゴシック" w:hAnsi="游ゴシック" w:eastAsia="游ゴシック"/>
          <w:b/>
          <w:i w:val="0"/>
          <w:color w:val="2E74B5"/>
          <w:sz w:val="30"/>
        </w:rPr>
        <w:t>2　算定方法と国のマニュアルの対照</w:t>
      </w:r>
      <w:bookmarkEnd w:id="104"/>
    </w:p>
    <w:p>
      <w:pPr>
        <w:spacing w:before="60" w:after="60"/>
      </w:pPr>
      <w:r>
        <w:rPr>
          <w:rFonts w:ascii="游ゴシック" w:hAnsi="游ゴシック" w:eastAsia="游ゴシック"/>
          <w:b w:val="0"/>
          <w:i w:val="0"/>
          <w:sz w:val="21"/>
        </w:rPr>
        <w:t>国のマニュアルは見込量の推計方法を①過去のサービス量実績の変化率の平均と②人口当たり利用率の2つとし、これに③地域差の是正と④いわゆる総量規制等の活用を添えています。設定シートが用いている5つの方法との対応は次のとおりです。</w:t>
      </w:r>
    </w:p>
    <w:p>
      <w:pPr>
        <w:keepNext/>
        <w:spacing w:before="200" w:after="40"/>
      </w:pPr>
      <w:r>
        <w:rPr>
          <w:rFonts w:ascii="游ゴシック" w:hAnsi="游ゴシック" w:eastAsia="游ゴシック"/>
          <w:b/>
          <w:i w:val="0"/>
          <w:color w:val="1F4D78"/>
          <w:sz w:val="22"/>
        </w:rPr>
        <w:t>【表3】算定方法と国のマニュアルの対照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2608"/>
        <w:gridCol w:w="1587"/>
        <w:gridCol w:w="4082"/>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設定シートの算定方法</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適用サービス</w:t>
            </w:r>
          </w:p>
        </w:tc>
        <w:tc>
          <w:tcPr>
            <w:tcW w:type="dxa" w:w="1587"/>
            <w:shd w:val="clear" w:fill="1F3864"/>
            <w:vAlign w:val="center"/>
          </w:tcPr>
          <w:p>
            <w:pPr>
              <w:spacing w:before="20" w:after="20"/>
              <w:jc w:val="center"/>
            </w:pPr>
            <w:r>
              <w:rPr>
                <w:rFonts w:ascii="游ゴシック" w:hAnsi="游ゴシック" w:eastAsia="游ゴシック"/>
                <w:b/>
                <w:i w:val="0"/>
                <w:color w:val="FFFFFF"/>
                <w:sz w:val="17"/>
              </w:rPr>
              <w:t>マニュアルの対応</w:t>
            </w:r>
          </w:p>
        </w:tc>
        <w:tc>
          <w:tcPr>
            <w:tcW w:type="dxa" w:w="4082"/>
            <w:shd w:val="clear" w:fill="1F3864"/>
            <w:vAlign w:val="center"/>
          </w:tcPr>
          <w:p>
            <w:pPr>
              <w:spacing w:before="20" w:after="20"/>
              <w:jc w:val="center"/>
            </w:pPr>
            <w:r>
              <w:rPr>
                <w:rFonts w:ascii="游ゴシック" w:hAnsi="游ゴシック" w:eastAsia="游ゴシック"/>
                <w:b/>
                <w:i w:val="0"/>
                <w:color w:val="FFFFFF"/>
                <w:sz w:val="17"/>
              </w:rPr>
              <w:t>所見</w:t>
            </w:r>
          </w:p>
        </w:tc>
      </w:tr>
      <w:tr>
        <w:tc>
          <w:tcPr>
            <w:tcW w:type="dxa" w:w="1474"/>
            <w:vAlign w:val="center"/>
          </w:tcPr>
          <w:p>
            <w:pPr>
              <w:spacing w:before="20" w:after="20"/>
            </w:pPr>
            <w:r>
              <w:rPr>
                <w:rFonts w:ascii="游ゴシック" w:hAnsi="游ゴシック" w:eastAsia="游ゴシック"/>
                <w:b w:val="0"/>
                <w:i w:val="0"/>
                <w:sz w:val="17"/>
              </w:rPr>
              <w:t>人口比率型</w:t>
            </w:r>
          </w:p>
        </w:tc>
        <w:tc>
          <w:tcPr>
            <w:tcW w:type="dxa" w:w="2608"/>
            <w:vAlign w:val="center"/>
          </w:tcPr>
          <w:p>
            <w:pPr>
              <w:spacing w:before="20" w:after="20"/>
            </w:pPr>
            <w:r>
              <w:rPr>
                <w:rFonts w:ascii="游ゴシック" w:hAnsi="游ゴシック" w:eastAsia="游ゴシック"/>
                <w:b w:val="0"/>
                <w:i w:val="0"/>
                <w:sz w:val="17"/>
              </w:rPr>
              <w:t>児童発達支援、放課後等デイサービス</w:t>
            </w:r>
          </w:p>
        </w:tc>
        <w:tc>
          <w:tcPr>
            <w:tcW w:type="dxa" w:w="1587"/>
            <w:vAlign w:val="center"/>
          </w:tcPr>
          <w:p>
            <w:pPr>
              <w:spacing w:before="20" w:after="20"/>
            </w:pPr>
            <w:r>
              <w:rPr>
                <w:rFonts w:ascii="游ゴシック" w:hAnsi="游ゴシック" w:eastAsia="游ゴシック"/>
                <w:b w:val="0"/>
                <w:i w:val="0"/>
                <w:sz w:val="17"/>
              </w:rPr>
              <w:t>② 人口当たり利用率</w:t>
            </w:r>
          </w:p>
        </w:tc>
        <w:tc>
          <w:tcPr>
            <w:tcW w:type="dxa" w:w="4082"/>
            <w:vAlign w:val="center"/>
          </w:tcPr>
          <w:p>
            <w:pPr>
              <w:spacing w:before="20" w:after="20"/>
            </w:pPr>
            <w:r>
              <w:rPr>
                <w:rFonts w:ascii="游ゴシック" w:hAnsi="游ゴシック" w:eastAsia="游ゴシック"/>
                <w:b w:val="0"/>
                <w:i w:val="0"/>
                <w:sz w:val="17"/>
              </w:rPr>
              <w:t>カタログに合致する。将来推計人口を乗じる方法であり、障害児通所支援に用いるのは理にかなう</w:t>
            </w:r>
          </w:p>
        </w:tc>
      </w:tr>
      <w:tr>
        <w:tc>
          <w:tcPr>
            <w:tcW w:type="dxa" w:w="1474"/>
            <w:vAlign w:val="center"/>
          </w:tcPr>
          <w:p>
            <w:pPr>
              <w:spacing w:before="20" w:after="20"/>
            </w:pPr>
            <w:r>
              <w:rPr>
                <w:rFonts w:ascii="游ゴシック" w:hAnsi="游ゴシック" w:eastAsia="游ゴシック"/>
                <w:b w:val="0"/>
                <w:i w:val="0"/>
                <w:sz w:val="17"/>
              </w:rPr>
              <w:t>線形トレンド</w:t>
            </w:r>
          </w:p>
        </w:tc>
        <w:tc>
          <w:tcPr>
            <w:tcW w:type="dxa" w:w="2608"/>
            <w:vAlign w:val="center"/>
          </w:tcPr>
          <w:p>
            <w:pPr>
              <w:spacing w:before="20" w:after="20"/>
            </w:pPr>
            <w:r>
              <w:rPr>
                <w:rFonts w:ascii="游ゴシック" w:hAnsi="游ゴシック" w:eastAsia="游ゴシック"/>
                <w:b w:val="0"/>
                <w:i w:val="0"/>
                <w:sz w:val="17"/>
              </w:rPr>
              <w:t>居宅介護、就労継続支援A型、共同生活援助、計画相談支援</w:t>
            </w:r>
          </w:p>
        </w:tc>
        <w:tc>
          <w:tcPr>
            <w:tcW w:type="dxa" w:w="1587"/>
            <w:vAlign w:val="center"/>
          </w:tcPr>
          <w:p>
            <w:pPr>
              <w:spacing w:before="20" w:after="20"/>
            </w:pPr>
            <w:r>
              <w:rPr>
                <w:rFonts w:ascii="游ゴシック" w:hAnsi="游ゴシック" w:eastAsia="游ゴシック"/>
                <w:b w:val="0"/>
                <w:i w:val="0"/>
                <w:sz w:val="17"/>
              </w:rPr>
              <w:t>① 変化率の平均（ただし算術的な延長）</w:t>
            </w:r>
          </w:p>
        </w:tc>
        <w:tc>
          <w:tcPr>
            <w:tcW w:type="dxa" w:w="4082"/>
            <w:vAlign w:val="center"/>
          </w:tcPr>
          <w:p>
            <w:pPr>
              <w:spacing w:before="20" w:after="20"/>
            </w:pPr>
            <w:r>
              <w:rPr>
                <w:rFonts w:ascii="游ゴシック" w:hAnsi="游ゴシック" w:eastAsia="游ゴシック"/>
                <w:b w:val="0"/>
                <w:i w:val="0"/>
                <w:sz w:val="17"/>
              </w:rPr>
              <w:t>マニュアルP.24は「見込量の推計においては増加率という比率の計算であるため、統計上は幾何平均による算出がより適した方法」と明記している。線形トレンドを採るなら理由を書く。4サービスはいずれも増加傾向（就労継続支援A型はR5の5からR8の11へ2.2倍）であり、幾何平均と線形で3年後の値が食い違う</w:t>
            </w:r>
          </w:p>
        </w:tc>
      </w:tr>
      <w:tr>
        <w:tc>
          <w:tcPr>
            <w:tcW w:type="dxa" w:w="1474"/>
            <w:vAlign w:val="center"/>
          </w:tcPr>
          <w:p>
            <w:pPr>
              <w:spacing w:before="20" w:after="20"/>
            </w:pPr>
            <w:r>
              <w:rPr>
                <w:rFonts w:ascii="游ゴシック" w:hAnsi="游ゴシック" w:eastAsia="游ゴシック"/>
                <w:b w:val="0"/>
                <w:i w:val="0"/>
                <w:sz w:val="17"/>
              </w:rPr>
              <w:t>直近3年平均／直近2年平均</w:t>
            </w:r>
          </w:p>
        </w:tc>
        <w:tc>
          <w:tcPr>
            <w:tcW w:type="dxa" w:w="2608"/>
            <w:vAlign w:val="center"/>
          </w:tcPr>
          <w:p>
            <w:pPr>
              <w:spacing w:before="20" w:after="20"/>
            </w:pPr>
            <w:r>
              <w:rPr>
                <w:rFonts w:ascii="游ゴシック" w:hAnsi="游ゴシック" w:eastAsia="游ゴシック"/>
                <w:b w:val="0"/>
                <w:i w:val="0"/>
                <w:sz w:val="17"/>
              </w:rPr>
              <w:t>生活介護（3年）、自立訓練（生活訓練）・就労継続支援B型（2年）</w:t>
            </w:r>
          </w:p>
        </w:tc>
        <w:tc>
          <w:tcPr>
            <w:tcW w:type="dxa" w:w="1587"/>
            <w:vAlign w:val="center"/>
          </w:tcPr>
          <w:p>
            <w:pPr>
              <w:spacing w:before="20" w:after="20"/>
            </w:pPr>
            <w:r>
              <w:rPr>
                <w:rFonts w:ascii="游ゴシック" w:hAnsi="游ゴシック" w:eastAsia="游ゴシック"/>
                <w:b w:val="0"/>
                <w:i w:val="0"/>
                <w:sz w:val="17"/>
              </w:rPr>
              <w:t>カタログ外（</w:t>
            </w:r>
            <w:r>
              <w:rPr>
                <w:rFonts w:ascii="游ゴシック" w:hAnsi="游ゴシック" w:eastAsia="游ゴシック"/>
                <w:b/>
                <w:i w:val="0"/>
                <w:sz w:val="17"/>
              </w:rPr>
              <w:t>水準の平均</w:t>
            </w:r>
            <w:r>
              <w:rPr>
                <w:rFonts w:ascii="游ゴシック" w:hAnsi="游ゴシック" w:eastAsia="游ゴシック"/>
                <w:b w:val="0"/>
                <w:i w:val="0"/>
                <w:sz w:val="17"/>
              </w:rPr>
              <w:t>）</w:t>
            </w:r>
          </w:p>
        </w:tc>
        <w:tc>
          <w:tcPr>
            <w:tcW w:type="dxa" w:w="4082"/>
            <w:vAlign w:val="center"/>
          </w:tcPr>
          <w:p>
            <w:pPr>
              <w:spacing w:before="20" w:after="20"/>
            </w:pPr>
            <w:r>
              <w:rPr>
                <w:rFonts w:ascii="游ゴシック" w:hAnsi="游ゴシック" w:eastAsia="游ゴシック"/>
                <w:b w:val="0"/>
                <w:i w:val="0"/>
                <w:sz w:val="17"/>
              </w:rPr>
              <w:t>マニュアルが示すのは</w:t>
            </w:r>
            <w:r>
              <w:rPr>
                <w:rFonts w:ascii="游ゴシック" w:hAnsi="游ゴシック" w:eastAsia="游ゴシック"/>
                <w:b/>
                <w:i w:val="0"/>
                <w:sz w:val="17"/>
              </w:rPr>
              <w:t>変化率</w:t>
            </w:r>
            <w:r>
              <w:rPr>
                <w:rFonts w:ascii="游ゴシック" w:hAnsi="游ゴシック" w:eastAsia="游ゴシック"/>
                <w:b w:val="0"/>
                <w:i w:val="0"/>
                <w:sz w:val="17"/>
              </w:rPr>
              <w:t>の平均であり、実績値そのものの平均ではない。生活介護はR5〜R8が31・30・32・30で横ばいのため結果は近くなるが、増減のあるサービスでは直近の水準から離れる。「横ばいと判断した」という置き方として書くと筋が通る</w:t>
            </w:r>
          </w:p>
        </w:tc>
      </w:tr>
      <w:tr>
        <w:tc>
          <w:tcPr>
            <w:tcW w:type="dxa" w:w="1474"/>
            <w:vAlign w:val="center"/>
          </w:tcPr>
          <w:p>
            <w:pPr>
              <w:keepNext/>
              <w:spacing w:before="20" w:after="20"/>
            </w:pPr>
            <w:r>
              <w:rPr>
                <w:rFonts w:ascii="游ゴシック" w:hAnsi="游ゴシック" w:eastAsia="游ゴシック"/>
                <w:b w:val="0"/>
                <w:i w:val="0"/>
                <w:sz w:val="17"/>
              </w:rPr>
              <w:t>直近実績横ばい</w:t>
            </w:r>
          </w:p>
        </w:tc>
        <w:tc>
          <w:tcPr>
            <w:tcW w:type="dxa" w:w="2608"/>
            <w:vAlign w:val="center"/>
          </w:tcPr>
          <w:p>
            <w:pPr>
              <w:keepNext/>
              <w:spacing w:before="20" w:after="20"/>
            </w:pPr>
            <w:r>
              <w:rPr>
                <w:rFonts w:ascii="游ゴシック" w:hAnsi="游ゴシック" w:eastAsia="游ゴシック"/>
                <w:b w:val="0"/>
                <w:i w:val="0"/>
                <w:sz w:val="17"/>
              </w:rPr>
              <w:t>重度訪問介護、同行援護、行動援護、重度障害者等包括支援、自立訓練（機能訓練）、療養介護、短期入所（福祉型・医療型）、自立生活援助、居宅訪問型児童発達支援</w:t>
            </w:r>
          </w:p>
        </w:tc>
        <w:tc>
          <w:tcPr>
            <w:tcW w:type="dxa" w:w="1587"/>
            <w:vAlign w:val="center"/>
          </w:tcPr>
          <w:p>
            <w:pPr>
              <w:keepNext/>
              <w:spacing w:before="20" w:after="20"/>
            </w:pPr>
            <w:r>
              <w:rPr>
                <w:rFonts w:ascii="游ゴシック" w:hAnsi="游ゴシック" w:eastAsia="游ゴシック"/>
                <w:b w:val="0"/>
                <w:i w:val="0"/>
                <w:sz w:val="17"/>
              </w:rPr>
              <w:t>カタログ外（据え置き）</w:t>
            </w:r>
          </w:p>
        </w:tc>
        <w:tc>
          <w:tcPr>
            <w:tcW w:type="dxa" w:w="4082"/>
            <w:vAlign w:val="center"/>
          </w:tcPr>
          <w:p>
            <w:pPr>
              <w:keepNext/>
              <w:spacing w:before="20" w:after="20"/>
            </w:pPr>
            <w:r>
              <w:rPr>
                <w:rFonts w:ascii="游ゴシック" w:hAnsi="游ゴシック" w:eastAsia="游ゴシック"/>
                <w:b w:val="0"/>
                <w:i w:val="0"/>
                <w:sz w:val="17"/>
              </w:rPr>
              <w:t>他団体でも同じ置き方を採っている（基準年度据え置き）。①②がその市町村の規模で成り立たない場合の選択であり、採る理由を計画本文に書けば足りる。ただし実績0の9サービスは、0とした根拠を別に示す必要がある</w:t>
            </w:r>
          </w:p>
        </w:tc>
      </w:tr>
      <w:tr>
        <w:tc>
          <w:tcPr>
            <w:tcW w:type="dxa" w:w="1474"/>
            <w:vAlign w:val="center"/>
          </w:tcPr>
          <w:p>
            <w:pPr>
              <w:spacing w:before="20" w:after="20"/>
            </w:pPr>
            <w:r>
              <w:rPr>
                <w:rFonts w:ascii="游ゴシック" w:hAnsi="游ゴシック" w:eastAsia="游ゴシック"/>
                <w:b w:val="0"/>
                <w:i w:val="0"/>
                <w:sz w:val="17"/>
              </w:rPr>
              <w:t>政策調整</w:t>
            </w:r>
          </w:p>
        </w:tc>
        <w:tc>
          <w:tcPr>
            <w:tcW w:type="dxa" w:w="2608"/>
            <w:vAlign w:val="center"/>
          </w:tcPr>
          <w:p>
            <w:pPr>
              <w:spacing w:before="20" w:after="20"/>
            </w:pPr>
            <w:r>
              <w:rPr>
                <w:rFonts w:ascii="游ゴシック" w:hAnsi="游ゴシック" w:eastAsia="游ゴシック"/>
                <w:b w:val="0"/>
                <w:i w:val="0"/>
                <w:sz w:val="17"/>
              </w:rPr>
              <w:t>就労選択支援、就労移行支援、就労定着支援、施設入所支援、地域移行支援、地域定着支援、保育所等訪問支援、障害児相談支援</w:t>
            </w:r>
          </w:p>
        </w:tc>
        <w:tc>
          <w:tcPr>
            <w:tcW w:type="dxa" w:w="1587"/>
            <w:vAlign w:val="center"/>
          </w:tcPr>
          <w:p>
            <w:pPr>
              <w:spacing w:before="20" w:after="20"/>
            </w:pPr>
            <w:r>
              <w:rPr>
                <w:rFonts w:ascii="游ゴシック" w:hAnsi="游ゴシック" w:eastAsia="游ゴシック"/>
                <w:b w:val="0"/>
                <w:i w:val="0"/>
                <w:sz w:val="17"/>
              </w:rPr>
              <w:t>成果目標による補正</w:t>
            </w:r>
          </w:p>
        </w:tc>
        <w:tc>
          <w:tcPr>
            <w:tcW w:type="dxa" w:w="4082"/>
            <w:vAlign w:val="center"/>
          </w:tcPr>
          <w:p>
            <w:pPr>
              <w:spacing w:before="20" w:after="20"/>
            </w:pPr>
            <w:r>
              <w:rPr>
                <w:rFonts w:ascii="游ゴシック" w:hAnsi="游ゴシック" w:eastAsia="游ゴシック"/>
                <w:b w:val="0"/>
                <w:i w:val="0"/>
                <w:sz w:val="17"/>
              </w:rPr>
              <w:t>成果目標と連動させる置き方であり妥当。成果目標の値が動けば見込量も動くため、設定シートの確認事項（一般就労移行者数R6実績・のぞまないセルフプラン件数）が解けるまでは暫定値であることを明示する</w:t>
            </w:r>
          </w:p>
        </w:tc>
      </w:tr>
    </w:tbl>
    <w:p>
      <w:pPr>
        <w:spacing w:after="40"/>
      </w:pPr>
    </w:p>
    <w:p>
      <w:pPr>
        <w:spacing w:before="60" w:after="60"/>
      </w:pPr>
      <w:r>
        <w:rPr>
          <w:rFonts w:ascii="游ゴシック" w:hAnsi="游ゴシック" w:eastAsia="游ゴシック"/>
          <w:b/>
          <w:i w:val="0"/>
          <w:sz w:val="21"/>
        </w:rPr>
        <w:t>カタログに明確に対応するのは「人口比率型」だけです。</w:t>
      </w:r>
      <w:r>
        <w:rPr>
          <w:rFonts w:ascii="游ゴシック" w:hAnsi="游ゴシック" w:eastAsia="游ゴシック"/>
          <w:b w:val="0"/>
          <w:i w:val="0"/>
          <w:sz w:val="21"/>
        </w:rPr>
        <w:t>他は①の変種か、カタログにない置き方です。これは誤りではありません。マニュアルも①②が成り立たない場合を否定していません。ただし国の計画協議では「なぜその方法か」を問われますので、上の表を計画本文に置いて理由を1行ずつ書いておくことをお勧めします。</w:t>
      </w:r>
    </w:p>
    <w:p>
      <w:pPr>
        <w:pStyle w:val="Heading1"/>
        <w:keepNext/>
        <w:spacing w:before="240" w:after="100"/>
      </w:pPr>
      <w:bookmarkStart w:id="105" w:name="_Toc_005"/>
      <w:r>
        <w:rPr>
          <w:rFonts w:ascii="游ゴシック" w:hAnsi="游ゴシック" w:eastAsia="游ゴシック"/>
          <w:b/>
          <w:i w:val="0"/>
          <w:color w:val="2E74B5"/>
          <w:sz w:val="30"/>
        </w:rPr>
        <w:t>3　告示が「ものとする」とした2要件</w:t>
      </w:r>
      <w:bookmarkEnd w:id="105"/>
    </w:p>
    <w:p>
      <w:pPr>
        <w:spacing w:before="60" w:after="60"/>
      </w:pPr>
      <w:r>
        <w:rPr>
          <w:rFonts w:ascii="游ゴシック" w:hAnsi="游ゴシック" w:eastAsia="游ゴシック"/>
          <w:b w:val="0"/>
          <w:i w:val="0"/>
          <w:sz w:val="21"/>
        </w:rPr>
        <w:t>告示 第三の二の2(一)は、見込量の設定について2つの条件を「ものとする」と定めています。</w:t>
      </w:r>
      <w:r>
        <w:rPr>
          <w:rFonts w:ascii="游ゴシック" w:hAnsi="游ゴシック" w:eastAsia="游ゴシック"/>
          <w:b/>
          <w:i w:val="0"/>
          <w:sz w:val="21"/>
        </w:rPr>
        <w:t>いずれも設定シートに入っていません。</w:t>
      </w:r>
      <w:r>
        <w:rPr>
          <w:rFonts w:ascii="游ゴシック" w:hAnsi="游ゴシック" w:eastAsia="游ゴシック"/>
          <w:b w:val="0"/>
          <w:i w:val="0"/>
          <w:sz w:val="21"/>
        </w:rPr>
        <w:t>義務に近い強さの要件であり、満たさないまま確定すると県の計画協議で指摘を受けます。</w:t>
      </w:r>
    </w:p>
    <w:p>
      <w:pPr>
        <w:pStyle w:val="Heading2"/>
        <w:keepNext/>
        <w:spacing w:before="180" w:after="100"/>
      </w:pPr>
      <w:bookmarkStart w:id="106" w:name="_Toc_006"/>
      <w:r>
        <w:rPr>
          <w:rFonts w:ascii="游ゴシック" w:hAnsi="游ゴシック" w:eastAsia="游ゴシック"/>
          <w:b/>
          <w:i w:val="0"/>
          <w:color w:val="2E74B5"/>
          <w:sz w:val="25"/>
        </w:rPr>
        <w:t>継続入所者の控除</w:t>
      </w:r>
      <w:bookmarkEnd w:id="106"/>
    </w:p>
    <w:p>
      <w:pPr>
        <w:keepNext/>
        <w:spacing w:before="200" w:after="40"/>
      </w:pPr>
      <w:r>
        <w:rPr>
          <w:rFonts w:ascii="游ゴシック" w:hAnsi="游ゴシック" w:eastAsia="游ゴシック"/>
          <w:b/>
          <w:i w:val="0"/>
          <w:color w:val="1F4D78"/>
          <w:sz w:val="22"/>
        </w:rPr>
        <w:t>【表4】継続入所者の控除（告示が「ものとする」とした要件）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告示 第三の二の2(一)</w:t>
            </w:r>
          </w:p>
        </w:tc>
      </w:tr>
      <w:tr>
        <w:tc>
          <w:tcPr>
            <w:tcW w:type="dxa" w:w="1701"/>
            <w:vAlign w:val="center"/>
          </w:tcPr>
          <w:p>
            <w:pPr>
              <w:spacing w:before="20" w:after="20"/>
            </w:pPr>
            <w:r>
              <w:rPr>
                <w:rFonts w:ascii="游ゴシック" w:hAnsi="游ゴシック" w:eastAsia="游ゴシック"/>
                <w:b w:val="0"/>
                <w:i w:val="0"/>
                <w:sz w:val="17"/>
              </w:rPr>
              <w:t>要件</w:t>
            </w:r>
          </w:p>
        </w:tc>
        <w:tc>
          <w:tcPr>
            <w:tcW w:type="dxa" w:w="8050"/>
            <w:vAlign w:val="center"/>
          </w:tcPr>
          <w:p>
            <w:pPr>
              <w:spacing w:before="20" w:after="20"/>
            </w:pPr>
            <w:r>
              <w:rPr>
                <w:rFonts w:ascii="游ゴシック" w:hAnsi="游ゴシック" w:eastAsia="游ゴシック"/>
                <w:b w:val="0"/>
                <w:i w:val="0"/>
                <w:sz w:val="17"/>
              </w:rPr>
              <w:t>生活介護、就労継続支援B型及び施設入所支援の見込量は、継続入所者の数を除いて設定する</w:t>
            </w:r>
          </w:p>
        </w:tc>
      </w:tr>
      <w:tr>
        <w:tc>
          <w:tcPr>
            <w:tcW w:type="dxa" w:w="1701"/>
            <w:vAlign w:val="center"/>
          </w:tcPr>
          <w:p>
            <w:pPr>
              <w:keepNext/>
              <w:spacing w:before="20" w:after="20"/>
            </w:pPr>
            <w:r>
              <w:rPr>
                <w:rFonts w:ascii="游ゴシック" w:hAnsi="游ゴシック" w:eastAsia="游ゴシック"/>
                <w:b w:val="0"/>
                <w:i w:val="0"/>
                <w:sz w:val="17"/>
              </w:rPr>
              <w:t>補足</w:t>
            </w:r>
          </w:p>
        </w:tc>
        <w:tc>
          <w:tcPr>
            <w:tcW w:type="dxa" w:w="8050"/>
            <w:vAlign w:val="center"/>
          </w:tcPr>
          <w:p>
            <w:pPr>
              <w:keepNext/>
              <w:spacing w:before="20" w:after="20"/>
            </w:pPr>
            <w:r>
              <w:rPr>
                <w:rFonts w:ascii="游ゴシック" w:hAnsi="游ゴシック" w:eastAsia="游ゴシック"/>
                <w:b w:val="0"/>
                <w:i w:val="0"/>
                <w:sz w:val="17"/>
              </w:rPr>
              <w:t>継続入所者＝整備法（平成22年法律第71号）による改正前の児童福祉法に規定する指定知的障害児施設等に入所していた18歳以上の者で、整備法による改正後の指定障害者支援施設等の指定を受けた当該施設に引き続き入所している者</w:t>
            </w:r>
          </w:p>
        </w:tc>
      </w:tr>
      <w:tr>
        <w:tc>
          <w:tcPr>
            <w:tcW w:type="dxa" w:w="1701"/>
            <w:vAlign w:val="center"/>
          </w:tcPr>
          <w:p>
            <w:pPr>
              <w:spacing w:before="20" w:after="20"/>
            </w:pPr>
            <w:r>
              <w:rPr>
                <w:rFonts w:ascii="游ゴシック" w:hAnsi="游ゴシック" w:eastAsia="游ゴシック"/>
                <w:b w:val="0"/>
                <w:i w:val="0"/>
                <w:sz w:val="17"/>
              </w:rPr>
              <w:t>小野町の状況</w:t>
            </w:r>
          </w:p>
        </w:tc>
        <w:tc>
          <w:tcPr>
            <w:tcW w:type="dxa" w:w="8050"/>
            <w:vAlign w:val="center"/>
          </w:tcPr>
          <w:p>
            <w:pPr>
              <w:spacing w:before="20" w:after="20"/>
            </w:pPr>
            <w:r>
              <w:rPr>
                <w:rFonts w:ascii="游ゴシック" w:hAnsi="游ゴシック" w:eastAsia="游ゴシック"/>
                <w:b w:val="0"/>
                <w:i w:val="0"/>
                <w:sz w:val="17"/>
              </w:rPr>
              <w:t>設定シートの3サービス（生活介護30人／月・就労継続支援B型36人／月・施設入所支援18〜19人）はいずれも控除前の数である。該当者がいれば見込量を下方修正する。町への確認事項に加え、該当者0であればその旨を計画本文に書く</w:t>
            </w:r>
          </w:p>
        </w:tc>
      </w:tr>
    </w:tbl>
    <w:p>
      <w:pPr>
        <w:spacing w:after="40"/>
      </w:pPr>
    </w:p>
    <w:p>
      <w:pPr>
        <w:pStyle w:val="Heading2"/>
        <w:keepNext/>
        <w:spacing w:before="180" w:after="100"/>
      </w:pPr>
      <w:bookmarkStart w:id="107" w:name="_Toc_007"/>
      <w:r>
        <w:rPr>
          <w:rFonts w:ascii="游ゴシック" w:hAnsi="游ゴシック" w:eastAsia="游ゴシック"/>
          <w:b/>
          <w:i w:val="0"/>
          <w:color w:val="2E74B5"/>
          <w:sz w:val="25"/>
        </w:rPr>
        <w:t>保育所等における障害児の受入れの体制の整備状況</w:t>
      </w:r>
      <w:bookmarkEnd w:id="107"/>
    </w:p>
    <w:p>
      <w:pPr>
        <w:keepNext/>
        <w:spacing w:before="200" w:after="40"/>
      </w:pPr>
      <w:r>
        <w:rPr>
          <w:rFonts w:ascii="游ゴシック" w:hAnsi="游ゴシック" w:eastAsia="游ゴシック"/>
          <w:b/>
          <w:i w:val="0"/>
          <w:color w:val="1F4D78"/>
          <w:sz w:val="22"/>
        </w:rPr>
        <w:t>【表5】保育所等における障害児の受入れの体制の整備状況（告示が「ものとする」とした要件）</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701"/>
        <w:gridCol w:w="8050"/>
      </w:tblGrid>
      <w:tr>
        <w:tc>
          <w:tcPr>
            <w:tcW w:type="dxa" w:w="1701"/>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8050"/>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701"/>
            <w:vAlign w:val="center"/>
          </w:tcPr>
          <w:p>
            <w:pPr>
              <w:spacing w:before="20" w:after="20"/>
            </w:pPr>
            <w:r>
              <w:rPr>
                <w:rFonts w:ascii="游ゴシック" w:hAnsi="游ゴシック" w:eastAsia="游ゴシック"/>
                <w:b w:val="0"/>
                <w:i w:val="0"/>
                <w:sz w:val="17"/>
              </w:rPr>
              <w:t>根拠</w:t>
            </w:r>
          </w:p>
        </w:tc>
        <w:tc>
          <w:tcPr>
            <w:tcW w:type="dxa" w:w="8050"/>
            <w:vAlign w:val="center"/>
          </w:tcPr>
          <w:p>
            <w:pPr>
              <w:spacing w:before="20" w:after="20"/>
            </w:pPr>
            <w:r>
              <w:rPr>
                <w:rFonts w:ascii="游ゴシック" w:hAnsi="游ゴシック" w:eastAsia="游ゴシック"/>
                <w:b w:val="0"/>
                <w:i w:val="0"/>
                <w:sz w:val="17"/>
              </w:rPr>
              <w:t>告示 第三の二の2(一)／別表第一 六</w:t>
            </w:r>
          </w:p>
        </w:tc>
      </w:tr>
      <w:tr>
        <w:tc>
          <w:tcPr>
            <w:tcW w:type="dxa" w:w="1701"/>
            <w:vAlign w:val="center"/>
          </w:tcPr>
          <w:p>
            <w:pPr>
              <w:spacing w:before="20" w:after="20"/>
            </w:pPr>
            <w:r>
              <w:rPr>
                <w:rFonts w:ascii="游ゴシック" w:hAnsi="游ゴシック" w:eastAsia="游ゴシック"/>
                <w:b w:val="0"/>
                <w:i w:val="0"/>
                <w:sz w:val="17"/>
              </w:rPr>
              <w:t>要件</w:t>
            </w:r>
          </w:p>
        </w:tc>
        <w:tc>
          <w:tcPr>
            <w:tcW w:type="dxa" w:w="8050"/>
            <w:vAlign w:val="center"/>
          </w:tcPr>
          <w:p>
            <w:pPr>
              <w:spacing w:before="20" w:after="20"/>
            </w:pPr>
            <w:r>
              <w:rPr>
                <w:rFonts w:ascii="游ゴシック" w:hAnsi="游ゴシック" w:eastAsia="游ゴシック"/>
                <w:b w:val="0"/>
                <w:i w:val="0"/>
                <w:sz w:val="17"/>
              </w:rPr>
              <w:t>指定通所支援等の見込量は、保育所等における障害児の受入れの体制の整備状況を踏まえた上で設定する</w:t>
            </w:r>
          </w:p>
        </w:tc>
      </w:tr>
      <w:tr>
        <w:tc>
          <w:tcPr>
            <w:tcW w:type="dxa" w:w="1701"/>
            <w:vAlign w:val="center"/>
          </w:tcPr>
          <w:p>
            <w:pPr>
              <w:keepNext/>
              <w:spacing w:before="20" w:after="20"/>
            </w:pPr>
            <w:r>
              <w:rPr>
                <w:rFonts w:ascii="游ゴシック" w:hAnsi="游ゴシック" w:eastAsia="游ゴシック"/>
                <w:b w:val="0"/>
                <w:i w:val="0"/>
                <w:sz w:val="17"/>
              </w:rPr>
              <w:t>補足</w:t>
            </w:r>
          </w:p>
        </w:tc>
        <w:tc>
          <w:tcPr>
            <w:tcW w:type="dxa" w:w="8050"/>
            <w:vAlign w:val="center"/>
          </w:tcPr>
          <w:p>
            <w:pPr>
              <w:keepNext/>
              <w:spacing w:before="20" w:after="20"/>
            </w:pPr>
            <w:r>
              <w:rPr>
                <w:rFonts w:ascii="游ゴシック" w:hAnsi="游ゴシック" w:eastAsia="游ゴシック"/>
                <w:b w:val="0"/>
                <w:i w:val="0"/>
                <w:sz w:val="17"/>
              </w:rPr>
              <w:t>別表第一 六は児童発達支援・放課後等デイサービス・保育所等訪問支援の勘案要素として「保育所や認定こども園、幼稚園等での障害児の受入状況」を挙げている</w:t>
            </w:r>
          </w:p>
        </w:tc>
      </w:tr>
      <w:tr>
        <w:tc>
          <w:tcPr>
            <w:tcW w:type="dxa" w:w="1701"/>
            <w:vAlign w:val="center"/>
          </w:tcPr>
          <w:p>
            <w:pPr>
              <w:spacing w:before="20" w:after="20"/>
            </w:pPr>
            <w:r>
              <w:rPr>
                <w:rFonts w:ascii="游ゴシック" w:hAnsi="游ゴシック" w:eastAsia="游ゴシック"/>
                <w:b w:val="0"/>
                <w:i w:val="0"/>
                <w:sz w:val="17"/>
              </w:rPr>
              <w:t>小野町の状況</w:t>
            </w:r>
          </w:p>
        </w:tc>
        <w:tc>
          <w:tcPr>
            <w:tcW w:type="dxa" w:w="8050"/>
            <w:vAlign w:val="center"/>
          </w:tcPr>
          <w:p>
            <w:pPr>
              <w:spacing w:before="20" w:after="20"/>
            </w:pPr>
            <w:r>
              <w:rPr>
                <w:rFonts w:ascii="游ゴシック" w:hAnsi="游ゴシック" w:eastAsia="游ゴシック"/>
                <w:b w:val="0"/>
                <w:i w:val="0"/>
                <w:sz w:val="17"/>
              </w:rPr>
              <w:t>設定シートの障害児通所支援は人口比率型と政策調整で置かれており、受入体制は勘案要素に入っていない。町の保育所・認定こども園・放課後児童クラブにおける障がい児の受入人数と加配の状況（令和6〜8年度）を確認事項に加える。骨子案 表9（資料依頼）にもこの項目がない</w:t>
            </w:r>
          </w:p>
        </w:tc>
      </w:tr>
    </w:tbl>
    <w:p>
      <w:pPr>
        <w:spacing w:after="40"/>
      </w:pPr>
    </w:p>
    <w:p>
      <w:pPr>
        <w:pStyle w:val="Heading1"/>
        <w:keepNext/>
        <w:spacing w:before="240" w:after="100"/>
      </w:pPr>
      <w:bookmarkStart w:id="108" w:name="_Toc_008"/>
      <w:r>
        <w:rPr>
          <w:rFonts w:ascii="游ゴシック" w:hAnsi="游ゴシック" w:eastAsia="游ゴシック"/>
          <w:b/>
          <w:i w:val="0"/>
          <w:color w:val="2E74B5"/>
          <w:sz w:val="30"/>
        </w:rPr>
        <w:t>4　別表第五（地域差是正）の適用判定</w:t>
      </w:r>
      <w:bookmarkEnd w:id="108"/>
    </w:p>
    <w:p>
      <w:pPr>
        <w:spacing w:before="60" w:after="60"/>
      </w:pPr>
      <w:r>
        <w:rPr>
          <w:rFonts w:ascii="游ゴシック" w:hAnsi="游ゴシック" w:eastAsia="游ゴシック"/>
          <w:b w:val="0"/>
          <w:i w:val="0"/>
          <w:sz w:val="21"/>
        </w:rPr>
        <w:t>第8期で新設された別表第五は、要件に該当する市町村について全国の伸び率を用いる算定方法を基本と定めています。</w:t>
      </w:r>
      <w:r>
        <w:rPr>
          <w:rFonts w:ascii="游ゴシック" w:hAnsi="游ゴシック" w:eastAsia="游ゴシック"/>
          <w:b/>
          <w:i w:val="0"/>
          <w:sz w:val="21"/>
        </w:rPr>
        <w:t>設定シートにも骨子案にも、この判定の記録がありません。</w:t>
      </w:r>
      <w:r>
        <w:rPr>
          <w:rFonts w:ascii="游ゴシック" w:hAnsi="游ゴシック" w:eastAsia="游ゴシック"/>
          <w:b w:val="0"/>
          <w:i w:val="0"/>
          <w:sz w:val="21"/>
        </w:rPr>
        <w:t>該当・非該当のいずれであっても、判定した事実を残す必要があります。</w:t>
      </w:r>
    </w:p>
    <w:p>
      <w:pPr>
        <w:keepNext/>
        <w:spacing w:before="200" w:after="40"/>
      </w:pPr>
      <w:r>
        <w:rPr>
          <w:rFonts w:ascii="游ゴシック" w:hAnsi="游ゴシック" w:eastAsia="游ゴシック"/>
          <w:b/>
          <w:i w:val="0"/>
          <w:color w:val="1F4D78"/>
          <w:sz w:val="22"/>
        </w:rPr>
        <w:t>【表6】別表第五の適用判定</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3969"/>
        <w:gridCol w:w="4309"/>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3969"/>
            <w:shd w:val="clear" w:fill="1F3864"/>
            <w:vAlign w:val="center"/>
          </w:tcPr>
          <w:p>
            <w:pPr>
              <w:spacing w:before="20" w:after="20"/>
              <w:jc w:val="center"/>
            </w:pPr>
            <w:r>
              <w:rPr>
                <w:rFonts w:ascii="游ゴシック" w:hAnsi="游ゴシック" w:eastAsia="游ゴシック"/>
                <w:b/>
                <w:i w:val="0"/>
                <w:color w:val="FFFFFF"/>
                <w:sz w:val="17"/>
              </w:rPr>
              <w:t>内容</w:t>
            </w:r>
          </w:p>
        </w:tc>
        <w:tc>
          <w:tcPr>
            <w:tcW w:type="dxa" w:w="4309"/>
            <w:shd w:val="clear" w:fill="1F3864"/>
            <w:vAlign w:val="center"/>
          </w:tcPr>
          <w:p>
            <w:pPr>
              <w:spacing w:before="20" w:after="20"/>
              <w:jc w:val="center"/>
            </w:pPr>
            <w:r>
              <w:rPr>
                <w:rFonts w:ascii="游ゴシック" w:hAnsi="游ゴシック" w:eastAsia="游ゴシック"/>
                <w:b/>
                <w:i w:val="0"/>
                <w:color w:val="FFFFFF"/>
                <w:sz w:val="17"/>
              </w:rPr>
              <w:t>小野町の状況</w:t>
            </w:r>
          </w:p>
        </w:tc>
      </w:tr>
      <w:tr>
        <w:tc>
          <w:tcPr>
            <w:tcW w:type="dxa" w:w="1474"/>
            <w:vAlign w:val="center"/>
          </w:tcPr>
          <w:p>
            <w:pPr>
              <w:spacing w:before="20" w:after="20"/>
            </w:pPr>
            <w:r>
              <w:rPr>
                <w:rFonts w:ascii="游ゴシック" w:hAnsi="游ゴシック" w:eastAsia="游ゴシック"/>
                <w:b w:val="0"/>
                <w:i w:val="0"/>
                <w:sz w:val="17"/>
              </w:rPr>
              <w:t>対象となるサービス</w:t>
            </w:r>
          </w:p>
        </w:tc>
        <w:tc>
          <w:tcPr>
            <w:tcW w:type="dxa" w:w="3969"/>
            <w:vAlign w:val="center"/>
          </w:tcPr>
          <w:p>
            <w:pPr>
              <w:spacing w:before="20" w:after="20"/>
            </w:pPr>
            <w:r>
              <w:rPr>
                <w:rFonts w:ascii="游ゴシック" w:hAnsi="游ゴシック" w:eastAsia="游ゴシック"/>
                <w:b w:val="0"/>
                <w:i w:val="0"/>
                <w:sz w:val="17"/>
              </w:rPr>
              <w:t>生活介護、就労継続支援A型、就労継続支援B型、児童発達支援、放課後等デイサービス、共同生活援助の6サービス（特定障害福祉サービス及び特定障害児通所支援）</w:t>
            </w:r>
          </w:p>
        </w:tc>
        <w:tc>
          <w:tcPr>
            <w:tcW w:type="dxa" w:w="4309"/>
            <w:vAlign w:val="center"/>
          </w:tcPr>
          <w:p>
            <w:pPr>
              <w:spacing w:before="20" w:after="20"/>
            </w:pPr>
            <w:r>
              <w:rPr>
                <w:rFonts w:ascii="游ゴシック" w:hAnsi="游ゴシック" w:eastAsia="游ゴシック"/>
                <w:b w:val="0"/>
                <w:i w:val="0"/>
                <w:sz w:val="17"/>
              </w:rPr>
              <w:t>設定シートではこの6サービスを線形トレンド・直近平均・人口比率型で置いており、別表第五の算定方法を検討した記録がない</w:t>
            </w:r>
          </w:p>
        </w:tc>
      </w:tr>
      <w:tr>
        <w:tc>
          <w:tcPr>
            <w:tcW w:type="dxa" w:w="1474"/>
            <w:vAlign w:val="center"/>
          </w:tcPr>
          <w:p>
            <w:pPr>
              <w:spacing w:before="20" w:after="20"/>
            </w:pPr>
            <w:r>
              <w:rPr>
                <w:rFonts w:ascii="游ゴシック" w:hAnsi="游ゴシック" w:eastAsia="游ゴシック"/>
                <w:b w:val="0"/>
                <w:i w:val="0"/>
                <w:sz w:val="17"/>
              </w:rPr>
              <w:t>要件1</w:t>
            </w:r>
          </w:p>
        </w:tc>
        <w:tc>
          <w:tcPr>
            <w:tcW w:type="dxa" w:w="3969"/>
            <w:vAlign w:val="center"/>
          </w:tcPr>
          <w:p>
            <w:pPr>
              <w:spacing w:before="20" w:after="20"/>
            </w:pPr>
            <w:r>
              <w:rPr>
                <w:rFonts w:ascii="游ゴシック" w:hAnsi="游ゴシック" w:eastAsia="游ゴシック"/>
                <w:b w:val="0"/>
                <w:i w:val="0"/>
                <w:sz w:val="17"/>
              </w:rPr>
              <w:t>全部過疎市町村ではないこと（過疎地域の持続的発展の支援に関する特別措置法（令和3年法律第19号）に基づく過疎地域のうち、過疎区分が全部過疎である市町村）</w:t>
            </w:r>
          </w:p>
        </w:tc>
        <w:tc>
          <w:tcPr>
            <w:tcW w:type="dxa" w:w="4309"/>
            <w:vAlign w:val="center"/>
          </w:tcPr>
          <w:p>
            <w:pPr>
              <w:spacing w:before="20" w:after="20"/>
            </w:pPr>
            <w:r>
              <w:rPr>
                <w:rFonts w:ascii="游ゴシック" w:hAnsi="游ゴシック" w:eastAsia="游ゴシック"/>
                <w:b/>
                <w:i w:val="0"/>
                <w:sz w:val="17"/>
              </w:rPr>
              <w:t>判定が必要。</w:t>
            </w:r>
            <w:r>
              <w:rPr>
                <w:rFonts w:ascii="游ゴシック" w:hAnsi="游ゴシック" w:eastAsia="游ゴシック"/>
                <w:b w:val="0"/>
                <w:i w:val="0"/>
                <w:sz w:val="17"/>
              </w:rPr>
              <w:t>令和8年度交付金の該当状況調査票では、小野町は「過疎地域該当」に○が付いているが、この欄は注記のとおり</w:t>
            </w:r>
            <w:r>
              <w:rPr>
                <w:rFonts w:ascii="游ゴシック" w:hAnsi="游ゴシック" w:eastAsia="游ゴシック"/>
                <w:b/>
                <w:i w:val="0"/>
                <w:sz w:val="17"/>
              </w:rPr>
              <w:t>一部過疎を含む</w:t>
            </w:r>
            <w:r>
              <w:rPr>
                <w:rFonts w:ascii="游ゴシック" w:hAnsi="游ゴシック" w:eastAsia="游ゴシック"/>
                <w:b w:val="0"/>
                <w:i w:val="0"/>
                <w:sz w:val="17"/>
              </w:rPr>
              <w:t>区分であり、全部過疎か一部過疎かを区別できない。総務省の過疎地域の公表資料又は福島県「県内の過疎・中山間地域の指定状況」で確かめる</w:t>
            </w:r>
          </w:p>
        </w:tc>
      </w:tr>
      <w:tr>
        <w:tc>
          <w:tcPr>
            <w:tcW w:type="dxa" w:w="1474"/>
            <w:vAlign w:val="center"/>
          </w:tcPr>
          <w:p>
            <w:pPr>
              <w:keepNext/>
              <w:spacing w:before="20" w:after="20"/>
            </w:pPr>
            <w:r>
              <w:rPr>
                <w:rFonts w:ascii="游ゴシック" w:hAnsi="游ゴシック" w:eastAsia="游ゴシック"/>
                <w:b w:val="0"/>
                <w:i w:val="0"/>
                <w:sz w:val="17"/>
              </w:rPr>
              <w:t>要件2</w:t>
            </w:r>
          </w:p>
        </w:tc>
        <w:tc>
          <w:tcPr>
            <w:tcW w:type="dxa" w:w="3969"/>
            <w:vAlign w:val="center"/>
          </w:tcPr>
          <w:p>
            <w:pPr>
              <w:keepNext/>
              <w:spacing w:before="20" w:after="20"/>
            </w:pPr>
            <w:r>
              <w:rPr>
                <w:rFonts w:ascii="游ゴシック" w:hAnsi="游ゴシック" w:eastAsia="游ゴシック"/>
                <w:b w:val="0"/>
                <w:i w:val="0"/>
                <w:sz w:val="17"/>
              </w:rPr>
              <w:t>当該サービスの、人口に占めるサービス利用者割合が、要件1を満たす市町村の上位25％の範囲内であること（人口は特定障害福祉サービスは18歳以上、特定障害児通所支援は18歳未満）</w:t>
            </w:r>
          </w:p>
        </w:tc>
        <w:tc>
          <w:tcPr>
            <w:tcW w:type="dxa" w:w="4309"/>
            <w:vAlign w:val="center"/>
          </w:tcPr>
          <w:p>
            <w:pPr>
              <w:keepNext/>
              <w:spacing w:before="20" w:after="20"/>
            </w:pPr>
            <w:r>
              <w:rPr>
                <w:rFonts w:ascii="游ゴシック" w:hAnsi="游ゴシック" w:eastAsia="游ゴシック"/>
                <w:b w:val="0"/>
                <w:i w:val="0"/>
                <w:sz w:val="17"/>
              </w:rPr>
              <w:t>要件1を満たす場合に判定する。全国の分布が必要であり、県に照会する</w:t>
            </w:r>
          </w:p>
        </w:tc>
      </w:tr>
      <w:tr>
        <w:tc>
          <w:tcPr>
            <w:tcW w:type="dxa" w:w="1474"/>
            <w:vAlign w:val="center"/>
          </w:tcPr>
          <w:p>
            <w:pPr>
              <w:spacing w:before="20" w:after="20"/>
            </w:pPr>
            <w:r>
              <w:rPr>
                <w:rFonts w:ascii="游ゴシック" w:hAnsi="游ゴシック" w:eastAsia="游ゴシック"/>
                <w:b w:val="0"/>
                <w:i w:val="0"/>
                <w:sz w:val="17"/>
              </w:rPr>
              <w:t>要件3と算定方法</w:t>
            </w:r>
          </w:p>
        </w:tc>
        <w:tc>
          <w:tcPr>
            <w:tcW w:type="dxa" w:w="3969"/>
            <w:vAlign w:val="center"/>
          </w:tcPr>
          <w:p>
            <w:pPr>
              <w:spacing w:before="20" w:after="20"/>
            </w:pPr>
            <w:r>
              <w:rPr>
                <w:rFonts w:ascii="游ゴシック" w:hAnsi="游ゴシック" w:eastAsia="游ゴシック"/>
                <w:b w:val="0"/>
                <w:i w:val="0"/>
                <w:sz w:val="17"/>
              </w:rPr>
              <w:t>要件1・2の両方に該当する市町村で、当該サービスの利用者数の伸び率（令和5年度から令和7年度までの幾何平均）が全国の伸び率を上回る場合は、令和9〜11年度の見込みを令和8年度の見込みと全国の伸び率を用いて定める</w:t>
            </w:r>
          </w:p>
        </w:tc>
        <w:tc>
          <w:tcPr>
            <w:tcW w:type="dxa" w:w="4309"/>
            <w:vAlign w:val="center"/>
          </w:tcPr>
          <w:p>
            <w:pPr>
              <w:spacing w:before="20" w:after="20"/>
            </w:pPr>
            <w:r>
              <w:rPr>
                <w:rFonts w:ascii="游ゴシック" w:hAnsi="游ゴシック" w:eastAsia="游ゴシック"/>
                <w:b w:val="0"/>
                <w:i w:val="0"/>
                <w:sz w:val="17"/>
              </w:rPr>
              <w:t>小野町が全部過疎であれば要件1を満たさず</w:t>
            </w:r>
            <w:r>
              <w:rPr>
                <w:rFonts w:ascii="游ゴシック" w:hAnsi="游ゴシック" w:eastAsia="游ゴシック"/>
                <w:b/>
                <w:i w:val="0"/>
                <w:sz w:val="17"/>
              </w:rPr>
              <w:t>適用対象外</w:t>
            </w:r>
            <w:r>
              <w:rPr>
                <w:rFonts w:ascii="游ゴシック" w:hAnsi="游ゴシック" w:eastAsia="游ゴシック"/>
                <w:b w:val="0"/>
                <w:i w:val="0"/>
                <w:sz w:val="17"/>
              </w:rPr>
              <w:t>となり、①②その他の方法を自由に選べる（他団体はこの扱い）。一部過疎であれば、就労継続支援A型（R5の5からR8の11へ）など伸びの大きいサービスで要件3に触れる可能性がある。判定の結果は、該当・非該当のいずれであっても計画本文に書き残す</w:t>
            </w:r>
          </w:p>
        </w:tc>
      </w:tr>
    </w:tbl>
    <w:p>
      <w:pPr>
        <w:spacing w:after="40"/>
      </w:pPr>
    </w:p>
    <w:p>
      <w:pPr>
        <w:spacing w:before="60" w:after="60"/>
      </w:pPr>
      <w:r>
        <w:rPr>
          <w:rFonts w:ascii="游ゴシック" w:hAnsi="游ゴシック" w:eastAsia="游ゴシック"/>
          <w:b w:val="0"/>
          <w:i w:val="0"/>
          <w:sz w:val="21"/>
        </w:rPr>
        <w:t>交付金の該当状況調査票では、小野町は人口8,864人・第1号被保険者3,493人で、過疎地域該当は「○」です。ただしこの欄の見出しは「過疎地域該当有無（一部過疎を含む・R5.4.1）」であり、</w:t>
      </w:r>
      <w:r>
        <w:rPr>
          <w:rFonts w:ascii="游ゴシック" w:hAnsi="游ゴシック" w:eastAsia="游ゴシック"/>
          <w:b/>
          <w:i w:val="0"/>
          <w:sz w:val="21"/>
        </w:rPr>
        <w:t>一部過疎を含む区分のため、別表第五が求める「全部過疎」の判定にはそのまま使えません。</w:t>
      </w:r>
    </w:p>
    <w:p>
      <w:pPr>
        <w:spacing w:before="40" w:after="160"/>
        <w:ind w:left="113"/>
      </w:pPr>
      <w:r>
        <w:rPr>
          <w:rFonts w:ascii="游ゴシック" w:hAnsi="游ゴシック" w:eastAsia="游ゴシック"/>
          <w:b w:val="0"/>
          <w:i w:val="0"/>
          <w:sz w:val="17"/>
        </w:rPr>
        <w:t>出典　【受領】令和8年度交付金 該当状況調査票集計表（市町村分）令和8年9月28日受領</w:t>
      </w:r>
    </w:p>
    <w:p>
      <w:pPr>
        <w:pStyle w:val="Heading1"/>
        <w:keepNext/>
        <w:spacing w:before="240" w:after="100"/>
      </w:pPr>
      <w:bookmarkStart w:id="109" w:name="_Toc_009"/>
      <w:r>
        <w:rPr>
          <w:rFonts w:ascii="游ゴシック" w:hAnsi="游ゴシック" w:eastAsia="游ゴシック"/>
          <w:b/>
          <w:i w:val="0"/>
          <w:color w:val="2E74B5"/>
          <w:sz w:val="30"/>
        </w:rPr>
        <w:t>5　医療的ケア児「等」への用語の統一</w:t>
      </w:r>
      <w:bookmarkEnd w:id="109"/>
    </w:p>
    <w:p>
      <w:pPr>
        <w:spacing w:before="60" w:after="60"/>
      </w:pPr>
      <w:r>
        <w:rPr>
          <w:rFonts w:ascii="游ゴシック" w:hAnsi="游ゴシック" w:eastAsia="游ゴシック"/>
          <w:b w:val="0"/>
          <w:i w:val="0"/>
          <w:sz w:val="21"/>
        </w:rPr>
        <w:t>令和8年8月19日の改正案は、18歳以上の医療的ケア児等を新設し、医療的ケア児等を児と者の両方を指す語に改めるものです。成果目標の立て方と用語に効きます。</w:t>
      </w:r>
    </w:p>
    <w:p>
      <w:pPr>
        <w:keepNext/>
        <w:spacing w:before="200" w:after="40"/>
      </w:pPr>
      <w:r>
        <w:rPr>
          <w:rFonts w:ascii="游ゴシック" w:hAnsi="游ゴシック" w:eastAsia="游ゴシック"/>
          <w:b/>
          <w:i w:val="0"/>
          <w:color w:val="1F4D78"/>
          <w:sz w:val="22"/>
        </w:rPr>
        <w:t>【表7】医療的ケア児等への対応</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474"/>
        <w:gridCol w:w="2041"/>
        <w:gridCol w:w="3061"/>
        <w:gridCol w:w="3175"/>
      </w:tblGrid>
      <w:tr>
        <w:tc>
          <w:tcPr>
            <w:tcW w:type="dxa" w:w="1474"/>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2041"/>
            <w:shd w:val="clear" w:fill="1F3864"/>
            <w:vAlign w:val="center"/>
          </w:tcPr>
          <w:p>
            <w:pPr>
              <w:spacing w:before="20" w:after="20"/>
              <w:jc w:val="center"/>
            </w:pPr>
            <w:r>
              <w:rPr>
                <w:rFonts w:ascii="游ゴシック" w:hAnsi="游ゴシック" w:eastAsia="游ゴシック"/>
                <w:b/>
                <w:i w:val="0"/>
                <w:color w:val="FFFFFF"/>
                <w:sz w:val="17"/>
              </w:rPr>
              <w:t>事項</w:t>
            </w:r>
          </w:p>
        </w:tc>
        <w:tc>
          <w:tcPr>
            <w:tcW w:type="dxa" w:w="3061"/>
            <w:shd w:val="clear" w:fill="1F3864"/>
            <w:vAlign w:val="center"/>
          </w:tcPr>
          <w:p>
            <w:pPr>
              <w:spacing w:before="20" w:after="20"/>
              <w:jc w:val="center"/>
            </w:pPr>
            <w:r>
              <w:rPr>
                <w:rFonts w:ascii="游ゴシック" w:hAnsi="游ゴシック" w:eastAsia="游ゴシック"/>
                <w:b/>
                <w:i w:val="0"/>
                <w:color w:val="FFFFFF"/>
                <w:sz w:val="17"/>
              </w:rPr>
              <w:t>国の定め</w:t>
            </w:r>
          </w:p>
        </w:tc>
        <w:tc>
          <w:tcPr>
            <w:tcW w:type="dxa" w:w="3175"/>
            <w:shd w:val="clear" w:fill="1F3864"/>
            <w:vAlign w:val="center"/>
          </w:tcPr>
          <w:p>
            <w:pPr>
              <w:spacing w:before="20" w:after="20"/>
              <w:jc w:val="center"/>
            </w:pPr>
            <w:r>
              <w:rPr>
                <w:rFonts w:ascii="游ゴシック" w:hAnsi="游ゴシック" w:eastAsia="游ゴシック"/>
                <w:b/>
                <w:i w:val="0"/>
                <w:color w:val="FFFFFF"/>
                <w:sz w:val="17"/>
              </w:rPr>
              <w:t>小野町の状況</w:t>
            </w:r>
          </w:p>
        </w:tc>
      </w:tr>
      <w:tr>
        <w:tc>
          <w:tcPr>
            <w:tcW w:type="dxa" w:w="1474"/>
            <w:vAlign w:val="center"/>
          </w:tcPr>
          <w:p>
            <w:pPr>
              <w:spacing w:before="20" w:after="20"/>
            </w:pPr>
            <w:r>
              <w:rPr>
                <w:rFonts w:ascii="游ゴシック" w:hAnsi="游ゴシック" w:eastAsia="游ゴシック"/>
                <w:b w:val="0"/>
                <w:i w:val="0"/>
                <w:sz w:val="17"/>
              </w:rPr>
              <w:t>成果目標（第二の四の4）</w:t>
            </w:r>
          </w:p>
        </w:tc>
        <w:tc>
          <w:tcPr>
            <w:tcW w:type="dxa" w:w="2041"/>
            <w:vAlign w:val="center"/>
          </w:tcPr>
          <w:p>
            <w:pPr>
              <w:spacing w:before="20" w:after="20"/>
            </w:pPr>
            <w:r>
              <w:rPr>
                <w:rFonts w:ascii="游ゴシック" w:hAnsi="游ゴシック" w:eastAsia="游ゴシック"/>
                <w:b w:val="0"/>
                <w:i w:val="0"/>
                <w:sz w:val="17"/>
              </w:rPr>
              <w:t>医療的ケア児等支援のための関係機関の協議の場の設置</w:t>
            </w:r>
            <w:r>
              <w:rPr>
                <w:rFonts w:ascii="游ゴシック" w:hAnsi="游ゴシック" w:eastAsia="游ゴシック"/>
                <w:b/>
                <w:i w:val="0"/>
                <w:sz w:val="17"/>
              </w:rPr>
              <w:t>及び</w:t>
            </w:r>
            <w:r>
              <w:rPr>
                <w:rFonts w:ascii="游ゴシック" w:hAnsi="游ゴシック" w:eastAsia="游ゴシック"/>
                <w:b w:val="0"/>
                <w:i w:val="0"/>
                <w:sz w:val="17"/>
              </w:rPr>
              <w:t>コーディネーターの配置</w:t>
            </w:r>
          </w:p>
        </w:tc>
        <w:tc>
          <w:tcPr>
            <w:tcW w:type="dxa" w:w="3061"/>
            <w:vAlign w:val="center"/>
          </w:tcPr>
          <w:p>
            <w:pPr>
              <w:spacing w:before="20" w:after="20"/>
            </w:pPr>
            <w:r>
              <w:rPr>
                <w:rFonts w:ascii="游ゴシック" w:hAnsi="游ゴシック" w:eastAsia="游ゴシック"/>
                <w:b w:val="0"/>
                <w:i w:val="0"/>
                <w:sz w:val="17"/>
              </w:rPr>
              <w:t>市町村は、令和11年度末までに協議の場を設けるとともに、医療的ケア児等に関するコーディネーターを配置することが基本。町単独での設置が困難な場合は、県が関与した上での圏域での設置でも差し支えない</w:t>
            </w:r>
          </w:p>
        </w:tc>
        <w:tc>
          <w:tcPr>
            <w:tcW w:type="dxa" w:w="3175"/>
            <w:vAlign w:val="center"/>
          </w:tcPr>
          <w:p>
            <w:pPr>
              <w:spacing w:before="20" w:after="20"/>
            </w:pPr>
            <w:r>
              <w:rPr>
                <w:rFonts w:ascii="游ゴシック" w:hAnsi="游ゴシック" w:eastAsia="游ゴシック"/>
                <w:b w:val="0"/>
                <w:i w:val="0"/>
                <w:sz w:val="17"/>
              </w:rPr>
              <w:t>設定シートの確認事項に「医療的ケア児等の協議の場・コーディネーター配置」が優先度「高」で挙がっており、重複しない。</w:t>
            </w:r>
            <w:r>
              <w:rPr>
                <w:rFonts w:ascii="游ゴシック" w:hAnsi="游ゴシック" w:eastAsia="游ゴシック"/>
                <w:b/>
                <w:i w:val="0"/>
                <w:sz w:val="17"/>
              </w:rPr>
              <w:t>両方が揃って初めて達成</w:t>
            </w:r>
            <w:r>
              <w:rPr>
                <w:rFonts w:ascii="游ゴシック" w:hAnsi="游ゴシック" w:eastAsia="游ゴシック"/>
                <w:b w:val="0"/>
                <w:i w:val="0"/>
                <w:sz w:val="17"/>
              </w:rPr>
              <w:t>となる点を成果目標の書き方で明示する</w:t>
            </w:r>
          </w:p>
        </w:tc>
      </w:tr>
      <w:tr>
        <w:tc>
          <w:tcPr>
            <w:tcW w:type="dxa" w:w="1474"/>
            <w:vAlign w:val="center"/>
          </w:tcPr>
          <w:p>
            <w:pPr>
              <w:keepNext/>
              <w:spacing w:before="20" w:after="20"/>
            </w:pPr>
            <w:r>
              <w:rPr>
                <w:rFonts w:ascii="游ゴシック" w:hAnsi="游ゴシック" w:eastAsia="游ゴシック"/>
                <w:b w:val="0"/>
                <w:i w:val="0"/>
                <w:sz w:val="17"/>
              </w:rPr>
              <w:t>用語（改正②による）</w:t>
            </w:r>
          </w:p>
        </w:tc>
        <w:tc>
          <w:tcPr>
            <w:tcW w:type="dxa" w:w="2041"/>
            <w:vAlign w:val="center"/>
          </w:tcPr>
          <w:p>
            <w:pPr>
              <w:keepNext/>
              <w:spacing w:before="20" w:after="20"/>
            </w:pPr>
            <w:r>
              <w:rPr>
                <w:rFonts w:ascii="游ゴシック" w:hAnsi="游ゴシック" w:eastAsia="游ゴシック"/>
                <w:b w:val="0"/>
                <w:i w:val="0"/>
                <w:sz w:val="17"/>
              </w:rPr>
              <w:t>医療的ケア児等＝医療的ケア児＋18歳以上の方</w:t>
            </w:r>
          </w:p>
        </w:tc>
        <w:tc>
          <w:tcPr>
            <w:tcW w:type="dxa" w:w="3061"/>
            <w:vAlign w:val="center"/>
          </w:tcPr>
          <w:p>
            <w:pPr>
              <w:keepNext/>
              <w:spacing w:before="20" w:after="20"/>
            </w:pPr>
            <w:r>
              <w:rPr>
                <w:rFonts w:ascii="游ゴシック" w:hAnsi="游ゴシック" w:eastAsia="游ゴシック"/>
                <w:b w:val="0"/>
                <w:i w:val="0"/>
                <w:sz w:val="17"/>
              </w:rPr>
              <w:t>18歳に達した後も切れ目なく支援を受けられるようにすることが改正法の基本理念に加わった。医療的ケア児支援センターは医療的ケア児等支援センターに、協議の場は医療的ケア児等支援地域協議会（法第18条の2第1項）になる</w:t>
            </w:r>
          </w:p>
        </w:tc>
        <w:tc>
          <w:tcPr>
            <w:tcW w:type="dxa" w:w="3175"/>
            <w:vAlign w:val="center"/>
          </w:tcPr>
          <w:p>
            <w:pPr>
              <w:keepNext/>
              <w:spacing w:before="20" w:after="20"/>
            </w:pPr>
            <w:r>
              <w:rPr>
                <w:rFonts w:ascii="游ゴシック" w:hAnsi="游ゴシック" w:eastAsia="游ゴシック"/>
                <w:b w:val="0"/>
                <w:i w:val="0"/>
                <w:sz w:val="17"/>
              </w:rPr>
              <w:t>骨子案 第2版は旧表記のままである（下の実測を参照）。build_ono_kosshi.py と build_ono_committee_doc_rev3.py も旧表記であり、</w:t>
            </w:r>
            <w:r>
              <w:rPr>
                <w:rFonts w:ascii="游ゴシック" w:hAnsi="游ゴシック" w:eastAsia="游ゴシック"/>
                <w:b/>
                <w:i w:val="0"/>
                <w:sz w:val="17"/>
              </w:rPr>
              <w:t>build_ono_shogai_kpi.py 第2版は「医療的ケア児等コーディネーター」に改めてあるため、こちらが正しい。</w:t>
            </w:r>
            <w:r>
              <w:rPr>
                <w:rFonts w:ascii="游ゴシック" w:hAnsi="游ゴシック" w:eastAsia="游ゴシック"/>
                <w:b w:val="0"/>
                <w:i w:val="0"/>
                <w:sz w:val="17"/>
              </w:rPr>
              <w:t>骨子案と協議会資料の表記を合わせる</w:t>
            </w:r>
          </w:p>
        </w:tc>
      </w:tr>
      <w:tr>
        <w:tc>
          <w:tcPr>
            <w:tcW w:type="dxa" w:w="1474"/>
            <w:vAlign w:val="center"/>
          </w:tcPr>
          <w:p>
            <w:pPr>
              <w:spacing w:before="20" w:after="20"/>
            </w:pPr>
            <w:r>
              <w:rPr>
                <w:rFonts w:ascii="游ゴシック" w:hAnsi="游ゴシック" w:eastAsia="游ゴシック"/>
                <w:b w:val="0"/>
                <w:i w:val="0"/>
                <w:sz w:val="17"/>
              </w:rPr>
              <w:t>18歳到達の接続</w:t>
            </w:r>
          </w:p>
        </w:tc>
        <w:tc>
          <w:tcPr>
            <w:tcW w:type="dxa" w:w="2041"/>
            <w:vAlign w:val="center"/>
          </w:tcPr>
          <w:p>
            <w:pPr>
              <w:spacing w:before="20" w:after="20"/>
            </w:pPr>
            <w:r>
              <w:rPr>
                <w:rFonts w:ascii="游ゴシック" w:hAnsi="游ゴシック" w:eastAsia="游ゴシック"/>
                <w:b w:val="0"/>
                <w:i w:val="0"/>
                <w:sz w:val="17"/>
              </w:rPr>
              <w:t>18歳以上の医療的ケア児等が対象に加わることの計画への影響</w:t>
            </w:r>
          </w:p>
        </w:tc>
        <w:tc>
          <w:tcPr>
            <w:tcW w:type="dxa" w:w="3061"/>
            <w:vAlign w:val="center"/>
          </w:tcPr>
          <w:p>
            <w:pPr>
              <w:spacing w:before="20" w:after="20"/>
            </w:pPr>
            <w:r>
              <w:rPr>
                <w:rFonts w:ascii="游ゴシック" w:hAnsi="游ゴシック" w:eastAsia="游ゴシック"/>
                <w:b w:val="0"/>
                <w:i w:val="0"/>
                <w:sz w:val="17"/>
              </w:rPr>
              <w:t>障害児通所支援から障害福祉サービスへの移行（告示 第三の二の2(一)）と重なる。18歳到達時に医療的ケアが途切れないようにする記述が必要</w:t>
            </w:r>
          </w:p>
        </w:tc>
        <w:tc>
          <w:tcPr>
            <w:tcW w:type="dxa" w:w="3175"/>
            <w:vAlign w:val="center"/>
          </w:tcPr>
          <w:p>
            <w:pPr>
              <w:spacing w:before="20" w:after="20"/>
            </w:pPr>
            <w:r>
              <w:rPr>
                <w:rFonts w:ascii="游ゴシック" w:hAnsi="游ゴシック" w:eastAsia="游ゴシック"/>
                <w:b w:val="0"/>
                <w:i w:val="0"/>
                <w:sz w:val="17"/>
              </w:rPr>
              <w:t>骨子案 表5の課題「18歳移行・進路支援」と課題「障がい児支援の提供体制」に医療的ケアの観点を足す。町の医療的ケア児の人数と状況は骨子案 表9で優先度「中」の資料依頼に挙がっているため、成人分も併せて確認する</w:t>
            </w:r>
          </w:p>
        </w:tc>
      </w:tr>
    </w:tbl>
    <w:p>
      <w:pPr>
        <w:spacing w:after="40"/>
      </w:pPr>
    </w:p>
    <w:p>
      <w:pPr>
        <w:spacing w:before="60" w:after="60"/>
      </w:pPr>
      <w:r>
        <w:rPr>
          <w:rFonts w:ascii="游ゴシック" w:hAnsi="游ゴシック" w:eastAsia="游ゴシック"/>
          <w:b w:val="0"/>
          <w:i w:val="0"/>
          <w:sz w:val="21"/>
        </w:rPr>
        <w:t>骨子案 第2版の実測では、「医療的ケア児等コーディネーター」4か所、「医療的ケア児コーディネーター」（旧表記）0か所、「医療的ケア者」0か所です。</w:t>
      </w:r>
      <w:r>
        <w:rPr>
          <w:rFonts w:ascii="游ゴシック" w:hAnsi="游ゴシック" w:eastAsia="游ゴシック"/>
          <w:b/>
          <w:i w:val="0"/>
          <w:sz w:val="21"/>
        </w:rPr>
        <w:t>本件は法律の語「医療的ケア児等」にそろえています</w:t>
      </w:r>
      <w:r>
        <w:rPr>
          <w:rFonts w:ascii="游ゴシック" w:hAnsi="游ゴシック" w:eastAsia="游ゴシック"/>
          <w:b w:val="0"/>
          <w:i w:val="0"/>
          <w:sz w:val="21"/>
        </w:rPr>
        <w:t>（医療的ケア児等及び重症心身障害者並びにそれらの家族に対する支援に関する法律第2条第3項。18歳以上の方を含みます）。</w:t>
      </w:r>
      <w:r>
        <w:rPr>
          <w:rFonts w:ascii="游ゴシック" w:hAnsi="游ゴシック" w:eastAsia="游ゴシック"/>
          <w:b/>
          <w:i w:val="0"/>
          <w:sz w:val="21"/>
        </w:rPr>
        <w:t>旧表記が残っているため、次版で統一してください。</w:t>
      </w:r>
    </w:p>
    <w:p>
      <w:pPr>
        <w:pStyle w:val="Heading1"/>
        <w:keepNext/>
        <w:spacing w:before="240" w:after="100"/>
      </w:pPr>
      <w:bookmarkStart w:id="110" w:name="_Toc_010"/>
      <w:r>
        <w:rPr>
          <w:rFonts w:ascii="游ゴシック" w:hAnsi="游ゴシック" w:eastAsia="游ゴシック"/>
          <w:b/>
          <w:i w:val="0"/>
          <w:color w:val="2E74B5"/>
          <w:sz w:val="30"/>
        </w:rPr>
        <w:t>6　別表第二 六の項の位置づけ</w:t>
      </w:r>
      <w:bookmarkEnd w:id="110"/>
    </w:p>
    <w:p>
      <w:pPr>
        <w:spacing w:before="60" w:after="60"/>
      </w:pPr>
      <w:r>
        <w:rPr>
          <w:rFonts w:ascii="游ゴシック" w:hAnsi="游ゴシック" w:eastAsia="游ゴシック"/>
          <w:b w:val="0"/>
          <w:i w:val="0"/>
          <w:sz w:val="21"/>
        </w:rPr>
        <w:t>令和8年7月10日の改正案は、別表第二に六の項を新設するものです。骨子案の整理は正しいのですが、成果目標とは別に計画の記載事項でもある点を押さえておく必要があります。</w:t>
      </w:r>
    </w:p>
    <w:p>
      <w:pPr>
        <w:keepNext/>
        <w:spacing w:before="200" w:after="40"/>
      </w:pPr>
      <w:r>
        <w:rPr>
          <w:rFonts w:ascii="游ゴシック" w:hAnsi="游ゴシック" w:eastAsia="游ゴシック"/>
          <w:b/>
          <w:i w:val="0"/>
          <w:color w:val="1F4D78"/>
          <w:sz w:val="22"/>
        </w:rPr>
        <w:t>【表8】別表第二 六の項（人材確保・生産性向上・経営基盤の確立）の位置づけ</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928"/>
        <w:gridCol w:w="7824"/>
      </w:tblGrid>
      <w:tr>
        <w:tc>
          <w:tcPr>
            <w:tcW w:type="dxa" w:w="1928"/>
            <w:shd w:val="clear" w:fill="1F3864"/>
            <w:vAlign w:val="center"/>
          </w:tcPr>
          <w:p>
            <w:pPr>
              <w:spacing w:before="20" w:after="20"/>
              <w:jc w:val="center"/>
            </w:pPr>
            <w:r>
              <w:rPr>
                <w:rFonts w:ascii="游ゴシック" w:hAnsi="游ゴシック" w:eastAsia="游ゴシック"/>
                <w:b/>
                <w:i w:val="0"/>
                <w:color w:val="FFFFFF"/>
                <w:sz w:val="17"/>
              </w:rPr>
              <w:t>区分</w:t>
            </w:r>
          </w:p>
        </w:tc>
        <w:tc>
          <w:tcPr>
            <w:tcW w:type="dxa" w:w="7824"/>
            <w:shd w:val="clear" w:fill="1F3864"/>
            <w:vAlign w:val="center"/>
          </w:tcPr>
          <w:p>
            <w:pPr>
              <w:spacing w:before="20" w:after="20"/>
              <w:jc w:val="center"/>
            </w:pPr>
            <w:r>
              <w:rPr>
                <w:rFonts w:ascii="游ゴシック" w:hAnsi="游ゴシック" w:eastAsia="游ゴシック"/>
                <w:b/>
                <w:i w:val="0"/>
                <w:color w:val="FFFFFF"/>
                <w:sz w:val="17"/>
              </w:rPr>
              <w:t>内容</w:t>
            </w:r>
          </w:p>
        </w:tc>
      </w:tr>
      <w:tr>
        <w:tc>
          <w:tcPr>
            <w:tcW w:type="dxa" w:w="1928"/>
            <w:vAlign w:val="center"/>
          </w:tcPr>
          <w:p>
            <w:pPr>
              <w:spacing w:before="20" w:after="20"/>
            </w:pPr>
            <w:r>
              <w:rPr>
                <w:rFonts w:ascii="游ゴシック" w:hAnsi="游ゴシック" w:eastAsia="游ゴシック"/>
                <w:b w:val="0"/>
                <w:i w:val="0"/>
                <w:sz w:val="17"/>
              </w:rPr>
              <w:t>改正①で新設された項</w:t>
            </w:r>
          </w:p>
        </w:tc>
        <w:tc>
          <w:tcPr>
            <w:tcW w:type="dxa" w:w="7824"/>
            <w:vAlign w:val="center"/>
          </w:tcPr>
          <w:p>
            <w:pPr>
              <w:spacing w:before="20" w:after="20"/>
            </w:pPr>
            <w:r>
              <w:rPr>
                <w:rFonts w:ascii="游ゴシック" w:hAnsi="游ゴシック" w:eastAsia="游ゴシック"/>
                <w:b w:val="0"/>
                <w:i w:val="0"/>
                <w:sz w:val="17"/>
              </w:rPr>
              <w:t>別表第二 六の項　人材確保、ケアの充実のための生産性向上及び経営基盤の確立等に係る取組事項</w:t>
            </w:r>
          </w:p>
        </w:tc>
      </w:tr>
      <w:tr>
        <w:tc>
          <w:tcPr>
            <w:tcW w:type="dxa" w:w="1928"/>
            <w:vAlign w:val="center"/>
          </w:tcPr>
          <w:p>
            <w:pPr>
              <w:spacing w:before="20" w:after="20"/>
            </w:pPr>
            <w:r>
              <w:rPr>
                <w:rFonts w:ascii="游ゴシック" w:hAnsi="游ゴシック" w:eastAsia="游ゴシック"/>
                <w:b w:val="0"/>
                <w:i w:val="0"/>
                <w:sz w:val="17"/>
              </w:rPr>
              <w:t>義務の強さ</w:t>
            </w:r>
          </w:p>
        </w:tc>
        <w:tc>
          <w:tcPr>
            <w:tcW w:type="dxa" w:w="7824"/>
            <w:vAlign w:val="center"/>
          </w:tcPr>
          <w:p>
            <w:pPr>
              <w:spacing w:before="20" w:after="20"/>
            </w:pPr>
            <w:r>
              <w:rPr>
                <w:rFonts w:ascii="游ゴシック" w:hAnsi="游ゴシック" w:eastAsia="游ゴシック"/>
                <w:b w:val="0"/>
                <w:i w:val="0"/>
                <w:sz w:val="17"/>
              </w:rPr>
              <w:t>告示 第三の二は、市町村障害福祉計画等について「同表の三の項中…確保のための方策に関する事項、同表の五の項に掲げる事項並びに同表の六の項に掲げる事項は</w:t>
            </w:r>
            <w:r>
              <w:rPr>
                <w:rFonts w:ascii="游ゴシック" w:hAnsi="游ゴシック" w:eastAsia="游ゴシック"/>
                <w:b/>
                <w:i w:val="0"/>
                <w:sz w:val="17"/>
              </w:rPr>
              <w:t>定めるよう努めなければならない事項</w:t>
            </w:r>
            <w:r>
              <w:rPr>
                <w:rFonts w:ascii="游ゴシック" w:hAnsi="游ゴシック" w:eastAsia="游ゴシック"/>
                <w:b w:val="0"/>
                <w:i w:val="0"/>
                <w:sz w:val="17"/>
              </w:rPr>
              <w:t>」としている。すなわち努力義務であり、一の項・七の項（期間）・八の項（点検評価）の「盛り込むことが望ましい事項」より強い</w:t>
            </w:r>
          </w:p>
        </w:tc>
      </w:tr>
      <w:tr>
        <w:tc>
          <w:tcPr>
            <w:tcW w:type="dxa" w:w="1928"/>
            <w:vAlign w:val="center"/>
          </w:tcPr>
          <w:p>
            <w:pPr>
              <w:spacing w:before="20" w:after="20"/>
            </w:pPr>
            <w:r>
              <w:rPr>
                <w:rFonts w:ascii="游ゴシック" w:hAnsi="游ゴシック" w:eastAsia="游ゴシック"/>
                <w:b w:val="0"/>
                <w:i w:val="0"/>
                <w:sz w:val="17"/>
              </w:rPr>
              <w:t>成果目標との関係</w:t>
            </w:r>
          </w:p>
        </w:tc>
        <w:tc>
          <w:tcPr>
            <w:tcW w:type="dxa" w:w="7824"/>
            <w:vAlign w:val="center"/>
          </w:tcPr>
          <w:p>
            <w:pPr>
              <w:spacing w:before="20" w:after="20"/>
            </w:pPr>
            <w:r>
              <w:rPr>
                <w:rFonts w:ascii="游ゴシック" w:hAnsi="游ゴシック" w:eastAsia="游ゴシック"/>
                <w:b w:val="0"/>
                <w:i w:val="0"/>
                <w:sz w:val="17"/>
              </w:rPr>
              <w:t>第二の七にも「障害福祉人材の確保・定着、当事者視点に立ったケアの充実のための生産性向上」があり、成果目標でもある。ただし別表第一 十二の活動指標3項目（計画的な人材養成の推進・ワンストップ窓口の活用・福祉・介護職員等処遇改善加算の取得）は、いずれも</w:t>
            </w:r>
            <w:r>
              <w:rPr>
                <w:rFonts w:ascii="游ゴシック" w:hAnsi="游ゴシック" w:eastAsia="游ゴシック"/>
                <w:b/>
                <w:i w:val="0"/>
                <w:sz w:val="17"/>
              </w:rPr>
              <w:t>都道府県又は指定権者</w:t>
            </w:r>
            <w:r>
              <w:rPr>
                <w:rFonts w:ascii="游ゴシック" w:hAnsi="游ゴシック" w:eastAsia="游ゴシック"/>
                <w:b w:val="0"/>
                <w:i w:val="0"/>
                <w:sz w:val="17"/>
              </w:rPr>
              <w:t>の指標であり、市町村の活動指標はない</w:t>
            </w:r>
          </w:p>
        </w:tc>
      </w:tr>
      <w:tr>
        <w:tc>
          <w:tcPr>
            <w:tcW w:type="dxa" w:w="1928"/>
            <w:vAlign w:val="center"/>
          </w:tcPr>
          <w:p>
            <w:pPr>
              <w:keepNext/>
              <w:spacing w:before="20" w:after="20"/>
            </w:pPr>
            <w:r>
              <w:rPr>
                <w:rFonts w:ascii="游ゴシック" w:hAnsi="游ゴシック" w:eastAsia="游ゴシック"/>
                <w:b w:val="0"/>
                <w:i w:val="0"/>
                <w:sz w:val="17"/>
              </w:rPr>
              <w:t>骨子案の扱い</w:t>
            </w:r>
          </w:p>
        </w:tc>
        <w:tc>
          <w:tcPr>
            <w:tcW w:type="dxa" w:w="7824"/>
            <w:vAlign w:val="center"/>
          </w:tcPr>
          <w:p>
            <w:pPr>
              <w:keepNext/>
              <w:spacing w:before="20" w:after="20"/>
            </w:pPr>
            <w:r>
              <w:rPr>
                <w:rFonts w:ascii="游ゴシック" w:hAnsi="游ゴシック" w:eastAsia="游ゴシック"/>
                <w:b w:val="0"/>
                <w:i w:val="0"/>
                <w:sz w:val="17"/>
              </w:rPr>
              <w:t>骨子案 表7は「⑦ 障害福祉人材の確保・定着、生産性向上」を成果目標の分野に置き、「国は都道府県にワンストップ窓口・連携協議会を求める。町としての取組を設定」としている。</w:t>
            </w:r>
            <w:r>
              <w:rPr>
                <w:rFonts w:ascii="游ゴシック" w:hAnsi="游ゴシック" w:eastAsia="游ゴシック"/>
                <w:b/>
                <w:i w:val="0"/>
                <w:sz w:val="17"/>
              </w:rPr>
              <w:t>この整理は正しい。</w:t>
            </w:r>
            <w:r>
              <w:rPr>
                <w:rFonts w:ascii="游ゴシック" w:hAnsi="游ゴシック" w:eastAsia="游ゴシック"/>
                <w:b w:val="0"/>
                <w:i w:val="0"/>
                <w:sz w:val="17"/>
              </w:rPr>
              <w:t>そのうえで、別表第二 六の項が計画の記載事項（努力義務）でもあることを第3部に節として置くと、県の計画協議で説明しやすくなる</w:t>
            </w:r>
          </w:p>
        </w:tc>
      </w:tr>
      <w:tr>
        <w:tc>
          <w:tcPr>
            <w:tcW w:type="dxa" w:w="1928"/>
            <w:vAlign w:val="center"/>
          </w:tcPr>
          <w:p>
            <w:pPr>
              <w:spacing w:before="20" w:after="20"/>
            </w:pPr>
            <w:r>
              <w:rPr>
                <w:rFonts w:ascii="游ゴシック" w:hAnsi="游ゴシック" w:eastAsia="游ゴシック"/>
                <w:b w:val="0"/>
                <w:i w:val="0"/>
                <w:sz w:val="17"/>
              </w:rPr>
              <w:t>書く内容</w:t>
            </w:r>
          </w:p>
        </w:tc>
        <w:tc>
          <w:tcPr>
            <w:tcW w:type="dxa" w:w="7824"/>
            <w:vAlign w:val="center"/>
          </w:tcPr>
          <w:p>
            <w:pPr>
              <w:spacing w:before="20" w:after="20"/>
            </w:pPr>
            <w:r>
              <w:rPr>
                <w:rFonts w:ascii="游ゴシック" w:hAnsi="游ゴシック" w:eastAsia="游ゴシック"/>
                <w:b w:val="0"/>
                <w:i w:val="0"/>
                <w:sz w:val="17"/>
              </w:rPr>
              <w:t>別表第二 六の項は①従事者の確保又は資質の向上のための取組、②生産性向上、③経営基盤の確立、④当事者視点に立ったケアの充実（意思決定支援を含む）を挙げている。根拠はアンケートではなく、県の研修実績・圏域の事業所の状況・町の委託先の状況に置く。他団体では計画素案 第5章13として新設した</w:t>
            </w:r>
          </w:p>
        </w:tc>
      </w:tr>
    </w:tbl>
    <w:p>
      <w:pPr>
        <w:spacing w:after="40"/>
      </w:pPr>
    </w:p>
    <w:p>
      <w:pPr>
        <w:pStyle w:val="Heading1"/>
        <w:keepNext/>
        <w:spacing w:before="240" w:after="100"/>
      </w:pPr>
      <w:bookmarkStart w:id="111" w:name="_Toc_011"/>
      <w:r>
        <w:rPr>
          <w:rFonts w:ascii="游ゴシック" w:hAnsi="游ゴシック" w:eastAsia="游ゴシック"/>
          <w:b/>
          <w:i w:val="0"/>
          <w:color w:val="2E74B5"/>
          <w:sz w:val="30"/>
        </w:rPr>
        <w:t>7　他案件で確立した手順との乖離</w:t>
      </w:r>
      <w:bookmarkEnd w:id="111"/>
    </w:p>
    <w:p>
      <w:pPr>
        <w:spacing w:before="60" w:after="60"/>
      </w:pPr>
      <w:r>
        <w:rPr>
          <w:rFonts w:ascii="游ゴシック" w:hAnsi="游ゴシック" w:eastAsia="游ゴシック"/>
          <w:b w:val="0"/>
          <w:i w:val="0"/>
          <w:sz w:val="21"/>
        </w:rPr>
        <w:t>他団体（同じ受託者が別に扱っている村）で固めた見込量算定の手順と突き合わせました。</w:t>
      </w:r>
      <w:r>
        <w:rPr>
          <w:rFonts w:ascii="游ゴシック" w:hAnsi="游ゴシック" w:eastAsia="游ゴシック"/>
          <w:b/>
          <w:i w:val="0"/>
          <w:sz w:val="21"/>
        </w:rPr>
        <w:t>小野町は回答数が多く、他団体でできなかったことができます。</w:t>
      </w:r>
      <w:r>
        <w:rPr>
          <w:rFonts w:ascii="游ゴシック" w:hAnsi="游ゴシック" w:eastAsia="游ゴシック"/>
          <w:b w:val="0"/>
          <w:i w:val="0"/>
          <w:sz w:val="21"/>
        </w:rPr>
        <w:t>逆に、他団体で踏んだ手順が小野町にまだ入っていない箇所もあります。</w:t>
      </w:r>
    </w:p>
    <w:p>
      <w:pPr>
        <w:pStyle w:val="Heading2"/>
        <w:keepNext/>
        <w:spacing w:before="180" w:after="100"/>
      </w:pPr>
      <w:bookmarkStart w:id="112" w:name="_Toc_012"/>
      <w:r>
        <w:rPr>
          <w:rFonts w:ascii="游ゴシック" w:hAnsi="游ゴシック" w:eastAsia="游ゴシック"/>
          <w:b/>
          <w:i w:val="0"/>
          <w:color w:val="2E74B5"/>
          <w:sz w:val="25"/>
        </w:rPr>
        <w:t>基準年度は完結年度をとる</w:t>
      </w:r>
      <w:bookmarkEnd w:id="112"/>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設定シートはR5〜R8の4年度を実績として用い、算定方法の多くが「直近実績横ばい」「直近2年平均」でR8に重みを置いている</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マニュアルは「計画期間の最終年度は、見込量推計を行う時点で実績値が確定していないことから、当該年度のデータを推計に用いることが難しい点も考慮する必要がある」と述べている。令和8年度は現在進行中であり、9月7日時点のR8は年度途中の値である。設定シート自身も確認事項で「障害児相談支援R8実績0人／月…年度途中値か年間実績か確認」と挙げており、同じ疑いを持っている</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R8を年度途中値と確定できれば、基準年度を令和7年度に寄せる。他団体は令和7年度を基準年度とした。R8を使い続けるなら、どの月までの累計かを明示する</w:t>
      </w:r>
    </w:p>
    <w:p>
      <w:pPr>
        <w:pStyle w:val="Heading2"/>
        <w:keepNext/>
        <w:spacing w:before="180" w:after="100"/>
      </w:pPr>
      <w:bookmarkStart w:id="113" w:name="_Toc_013"/>
      <w:r>
        <w:rPr>
          <w:rFonts w:ascii="游ゴシック" w:hAnsi="游ゴシック" w:eastAsia="游ゴシック"/>
          <w:b/>
          <w:i w:val="0"/>
          <w:color w:val="2E74B5"/>
          <w:sz w:val="25"/>
        </w:rPr>
        <w:t>月平均利用者数と年間請求件数を人／月×12で結ばない</w:t>
      </w:r>
      <w:bookmarkEnd w:id="113"/>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設定シートの表頭は「単位（量）」の列に時間／月・人日／月を置き、値の列は「利用者数（実績・算定方法・政策値・見込）」としている。すなわち単位の列は量の単位、値は利用者数である</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列の意味が揃っておらず、読み手が値を量と取り違える余地がある。他団体では、請求件数と月平均利用者数を同じ表に並べたことによる誤読の余地を指摘し、表の直下に注記を置いた（他団体では、請求件数と月平均利用者数を同じ列に並べたことによる誤読の余地があった）</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値が利用者数であることを列見出しに書く。量（時間／月・人日／月）を別の列として持ち、利用者数×1人当たり月利用量で量を出す形にすると取り違えが起きない</w:t>
      </w:r>
    </w:p>
    <w:p>
      <w:pPr>
        <w:pStyle w:val="Heading2"/>
        <w:keepNext/>
        <w:spacing w:before="180" w:after="100"/>
      </w:pPr>
      <w:bookmarkStart w:id="114" w:name="_Toc_014"/>
      <w:r>
        <w:rPr>
          <w:rFonts w:ascii="游ゴシック" w:hAnsi="游ゴシック" w:eastAsia="游ゴシック"/>
          <w:b/>
          <w:i w:val="0"/>
          <w:color w:val="2E74B5"/>
          <w:sz w:val="25"/>
        </w:rPr>
        <w:t>実績ゼロをニーズゼロと判断しない</w:t>
      </w:r>
      <w:bookmarkEnd w:id="114"/>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実績0のまま横ばい（0見込）としたサービスが9ある（重度訪問介護・同行援護・行動援護・重度障害者等包括支援・自立訓練（機能訓練）・短期入所（福祉型・医療型）・自立生活援助・居宅訪問型児童発達支援）</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骨子案 表8は「実績0でも候補者の有無を確認し、0見込の根拠を記録する」と方針を書いており、方向は合っている。小野町は今期調査の有効回答が284件（障がい者259件・障がい児25件）あるため、</w:t>
      </w:r>
      <w:r>
        <w:rPr>
          <w:rFonts w:ascii="游ゴシック" w:hAnsi="游ゴシック" w:eastAsia="游ゴシック"/>
          <w:b/>
          <w:i w:val="0"/>
          <w:sz w:val="21"/>
        </w:rPr>
        <w:t>利用意向から0見込の根拠を示せる</w:t>
      </w:r>
      <w:r>
        <w:rPr>
          <w:rFonts w:ascii="游ゴシック" w:hAnsi="游ゴシック" w:eastAsia="游ゴシック"/>
          <w:b w:val="0"/>
          <w:i w:val="0"/>
          <w:sz w:val="21"/>
        </w:rPr>
        <w:t>。他団体では回答数が少なく、「内容をよく知らない」という回答の割合を0見込の留保として示した</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今期調査の利用意向（現在の利用×今後の利用希望）をサービス別に集計し、0見込の9サービスについて意向の有無を確かめる。マニュアルP.26（参考）が示す手順そのものである</w:t>
      </w:r>
    </w:p>
    <w:p>
      <w:pPr>
        <w:pStyle w:val="Heading2"/>
        <w:keepNext/>
        <w:spacing w:before="180" w:after="100"/>
      </w:pPr>
      <w:bookmarkStart w:id="115" w:name="_Toc_015"/>
      <w:r>
        <w:rPr>
          <w:rFonts w:ascii="游ゴシック" w:hAnsi="游ゴシック" w:eastAsia="游ゴシック"/>
          <w:b/>
          <w:i w:val="0"/>
          <w:color w:val="2E74B5"/>
          <w:sz w:val="25"/>
        </w:rPr>
        <w:t>算定パターンを列挙し、採るパターンを理由とともに決める</w:t>
      </w:r>
      <w:bookmarkEnd w:id="115"/>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設定シートは算定方法を5つ使い分けているが、どの方法を採ったかはサービスごとの列にあるだけで、5つの方法の一覧と採否の理由が1か所にまとまっていない</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国の計画協議では「なぜその方法か」を問われる。他団体は3パターン（母数連動・トレンド延長・基準年度据え置き＋成果目標補正）を併記し、3か年給付費をパターンごとに示して採用値が幅の中にあることを示した</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本書2章の対照表を計画本文（第3部）に置く。マニュアル①②を採らなかったサービスについては理由を1行ずつ書く</w:t>
      </w:r>
    </w:p>
    <w:p>
      <w:pPr>
        <w:pStyle w:val="Heading2"/>
        <w:keepNext/>
        <w:spacing w:before="180" w:after="100"/>
      </w:pPr>
      <w:bookmarkStart w:id="116" w:name="_Toc_016"/>
      <w:r>
        <w:rPr>
          <w:rFonts w:ascii="游ゴシック" w:hAnsi="游ゴシック" w:eastAsia="游ゴシック"/>
          <w:b/>
          <w:i w:val="0"/>
          <w:color w:val="2E74B5"/>
          <w:sz w:val="25"/>
        </w:rPr>
        <w:t>成果目標の基準時点をそろえる</w:t>
      </w:r>
      <w:bookmarkEnd w:id="116"/>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骨子案 表7は施設入所者の削減について「令和4年度末26人を基準」（第7期の設定）とし、第8期は「令和7年度末の確定値を基準に」としている。設定シートはR7実績19・R8実績18・政策R9〜R11を18としている</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19人に対する5％は0.95人であり、1人の削減で要件を満たす。したがって18人という置き方は国基準と整合する。ただしR7の19は月平均利用者数であり、国基準の「令和7年度末時点の施設入所者数」とは別の数である</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令和7年度末時点（令和8年3月31日）の施設入所者数を実人数で町に確認する。設定シートの確認事項に「施設入所者数の令和7年度末確定値」として挙がっている骨子案 表9の資料依頼と同じ事項であり、優先度は高い</w:t>
      </w:r>
    </w:p>
    <w:p>
      <w:pPr>
        <w:pStyle w:val="Heading2"/>
        <w:keepNext/>
        <w:spacing w:before="180" w:after="100"/>
      </w:pPr>
      <w:bookmarkStart w:id="117" w:name="_Toc_017"/>
      <w:r>
        <w:rPr>
          <w:rFonts w:ascii="游ゴシック" w:hAnsi="游ゴシック" w:eastAsia="游ゴシック"/>
          <w:b/>
          <w:i w:val="0"/>
          <w:color w:val="2E74B5"/>
          <w:sz w:val="25"/>
        </w:rPr>
        <w:t>障害児の急減の理由を押さえる</w:t>
      </w:r>
      <w:bookmarkEnd w:id="117"/>
    </w:p>
    <w:p>
      <w:pPr>
        <w:spacing w:before="60" w:after="60"/>
      </w:pPr>
      <w:r>
        <w:rPr>
          <w:rFonts w:ascii="游ゴシック" w:hAnsi="游ゴシック" w:eastAsia="游ゴシック"/>
          <w:b/>
          <w:i w:val="0"/>
          <w:sz w:val="21"/>
        </w:rPr>
        <w:t>設定シートの状況</w:t>
      </w:r>
      <w:r>
        <w:rPr>
          <w:rFonts w:ascii="游ゴシック" w:hAnsi="游ゴシック" w:eastAsia="游ゴシック"/>
          <w:b w:val="0"/>
          <w:i w:val="0"/>
          <w:sz w:val="21"/>
        </w:rPr>
        <w:t xml:space="preserve">　放課後等デイサービスはR5の31からR8の19へ3年で約4割減っている。算定方法は人口比率型である</w:t>
      </w:r>
    </w:p>
    <w:p>
      <w:pPr>
        <w:spacing w:before="60" w:after="60"/>
      </w:pPr>
      <w:r>
        <w:rPr>
          <w:rFonts w:ascii="游ゴシック" w:hAnsi="游ゴシック" w:eastAsia="游ゴシック"/>
          <w:b/>
          <w:i w:val="0"/>
          <w:sz w:val="21"/>
        </w:rPr>
        <w:t>なぜそれが問題か</w:t>
      </w:r>
      <w:r>
        <w:rPr>
          <w:rFonts w:ascii="游ゴシック" w:hAnsi="游ゴシック" w:eastAsia="游ゴシック"/>
          <w:b w:val="0"/>
          <w:i w:val="0"/>
          <w:sz w:val="21"/>
        </w:rPr>
        <w:t xml:space="preserve">　人口比率型は年少人口の減少率で延ばす方法であり、年に数％の減少を表すものである。4割の減少は人口では説明できない。卒業による18歳到達、転出、事業所の受入状況のいずれかが効いている。他団体でも児童発達支援が令和5年度23件から令和7年度1件へ急減し、就学による放課後等デイサービスへの移行と見て村に照会した（確認中）</w:t>
      </w:r>
    </w:p>
    <w:p>
      <w:pPr>
        <w:spacing w:before="60" w:after="60"/>
      </w:pPr>
      <w:r>
        <w:rPr>
          <w:rFonts w:ascii="游ゴシック" w:hAnsi="游ゴシック" w:eastAsia="游ゴシック"/>
          <w:b/>
          <w:i w:val="0"/>
          <w:sz w:val="21"/>
        </w:rPr>
        <w:t>どう直すか</w:t>
      </w:r>
      <w:r>
        <w:rPr>
          <w:rFonts w:ascii="游ゴシック" w:hAnsi="游ゴシック" w:eastAsia="游ゴシック"/>
          <w:b w:val="0"/>
          <w:i w:val="0"/>
          <w:sz w:val="21"/>
        </w:rPr>
        <w:t xml:space="preserve">　減少の内訳（卒業・転出・利用中止）を町に確認する。卒業によるものであれば、今後3年の18歳到達者数から個別に積み上げる方が実態に合う</w:t>
      </w:r>
    </w:p>
    <w:p>
      <w:pPr>
        <w:pStyle w:val="Heading1"/>
        <w:keepNext/>
        <w:spacing w:before="240" w:after="100"/>
      </w:pPr>
      <w:bookmarkStart w:id="118" w:name="_Toc_018"/>
      <w:r>
        <w:rPr>
          <w:rFonts w:ascii="游ゴシック" w:hAnsi="游ゴシック" w:eastAsia="游ゴシック"/>
          <w:b/>
          <w:i w:val="0"/>
          <w:color w:val="2E74B5"/>
          <w:sz w:val="30"/>
        </w:rPr>
        <w:t>8　実績0のサービスと利用意向の突き合わせ</w:t>
      </w:r>
      <w:bookmarkEnd w:id="118"/>
    </w:p>
    <w:p>
      <w:pPr>
        <w:spacing w:before="60" w:after="60"/>
      </w:pPr>
      <w:r>
        <w:rPr>
          <w:rFonts w:ascii="游ゴシック" w:hAnsi="游ゴシック" w:eastAsia="游ゴシック"/>
          <w:b w:val="0"/>
          <w:i w:val="0"/>
          <w:sz w:val="21"/>
        </w:rPr>
        <w:t>設定シートが実績0のまま横ばい（0見込）としたサービスについて、今期調査の問31と突き合わせました。</w:t>
      </w:r>
      <w:r>
        <w:rPr>
          <w:rFonts w:ascii="游ゴシック" w:hAnsi="游ゴシック" w:eastAsia="游ゴシック"/>
          <w:b/>
          <w:i w:val="0"/>
          <w:sz w:val="21"/>
        </w:rPr>
        <w:t>集計表には個票がないため、同じ人の「現在の利用×利用意向」のクロスは作れません</w:t>
      </w:r>
      <w:r>
        <w:rPr>
          <w:rFonts w:ascii="游ゴシック" w:hAnsi="游ゴシック" w:eastAsia="游ゴシック"/>
          <w:b w:val="0"/>
          <w:i w:val="0"/>
          <w:sz w:val="21"/>
        </w:rPr>
        <w:t>（「問31と給付実績の食い違いの切り分け」令和8年10月7日を参照）。ここで用いているのは周辺度数だけですが、それでも0見込を据え置けるかどうかは確かめられます。</w:t>
      </w:r>
    </w:p>
    <w:p>
      <w:pPr>
        <w:keepNext/>
        <w:spacing w:before="200" w:after="40"/>
      </w:pPr>
      <w:r>
        <w:rPr>
          <w:rFonts w:ascii="游ゴシック" w:hAnsi="游ゴシック" w:eastAsia="游ゴシック"/>
          <w:b/>
          <w:i w:val="0"/>
          <w:color w:val="1F4D78"/>
          <w:sz w:val="22"/>
        </w:rPr>
        <w:t>【表9】実績と利用意向の突き合わせ（n=259）</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1247"/>
        <w:gridCol w:w="2608"/>
        <w:gridCol w:w="1134"/>
        <w:gridCol w:w="1020"/>
        <w:gridCol w:w="1134"/>
        <w:gridCol w:w="2608"/>
      </w:tblGrid>
      <w:tr>
        <w:tc>
          <w:tcPr>
            <w:tcW w:type="dxa" w:w="1247"/>
            <w:shd w:val="clear" w:fill="1F3864"/>
            <w:vAlign w:val="center"/>
          </w:tcPr>
          <w:p>
            <w:pPr>
              <w:spacing w:before="20" w:after="20"/>
              <w:jc w:val="center"/>
            </w:pPr>
            <w:r>
              <w:rPr>
                <w:rFonts w:ascii="游ゴシック" w:hAnsi="游ゴシック" w:eastAsia="游ゴシック"/>
                <w:b/>
                <w:i w:val="0"/>
                <w:color w:val="FFFFFF"/>
                <w:sz w:val="17"/>
              </w:rPr>
              <w:t>問31のサービス</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設定シートのサービス</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R8実績</w:t>
            </w:r>
          </w:p>
        </w:tc>
        <w:tc>
          <w:tcPr>
            <w:tcW w:type="dxa" w:w="1020"/>
            <w:shd w:val="clear" w:fill="1F3864"/>
            <w:vAlign w:val="center"/>
          </w:tcPr>
          <w:p>
            <w:pPr>
              <w:spacing w:before="20" w:after="20"/>
              <w:jc w:val="center"/>
            </w:pPr>
            <w:r>
              <w:rPr>
                <w:rFonts w:ascii="游ゴシック" w:hAnsi="游ゴシック" w:eastAsia="游ゴシック"/>
                <w:b/>
                <w:i w:val="0"/>
                <w:color w:val="FFFFFF"/>
                <w:sz w:val="17"/>
              </w:rPr>
              <w:t>現在利用</w:t>
            </w:r>
          </w:p>
        </w:tc>
        <w:tc>
          <w:tcPr>
            <w:tcW w:type="dxa" w:w="1134"/>
            <w:shd w:val="clear" w:fill="1F3864"/>
            <w:vAlign w:val="center"/>
          </w:tcPr>
          <w:p>
            <w:pPr>
              <w:spacing w:before="20" w:after="20"/>
              <w:jc w:val="center"/>
            </w:pPr>
            <w:r>
              <w:rPr>
                <w:rFonts w:ascii="游ゴシック" w:hAnsi="游ゴシック" w:eastAsia="游ゴシック"/>
                <w:b/>
                <w:i w:val="0"/>
                <w:color w:val="FFFFFF"/>
                <w:sz w:val="17"/>
              </w:rPr>
              <w:t>利用したい</w:t>
            </w:r>
          </w:p>
        </w:tc>
        <w:tc>
          <w:tcPr>
            <w:tcW w:type="dxa" w:w="2608"/>
            <w:shd w:val="clear" w:fill="1F3864"/>
            <w:vAlign w:val="center"/>
          </w:tcPr>
          <w:p>
            <w:pPr>
              <w:spacing w:before="20" w:after="20"/>
              <w:jc w:val="center"/>
            </w:pPr>
            <w:r>
              <w:rPr>
                <w:rFonts w:ascii="游ゴシック" w:hAnsi="游ゴシック" w:eastAsia="游ゴシック"/>
                <w:b/>
                <w:i w:val="0"/>
                <w:color w:val="FFFFFF"/>
                <w:sz w:val="17"/>
              </w:rPr>
              <w:t>見込の置き方</w:t>
            </w:r>
          </w:p>
        </w:tc>
      </w:tr>
      <w:tr>
        <w:tc>
          <w:tcPr>
            <w:tcW w:type="dxa" w:w="1247"/>
            <w:vAlign w:val="center"/>
          </w:tcPr>
          <w:p>
            <w:pPr>
              <w:spacing w:before="20" w:after="20"/>
            </w:pPr>
            <w:r>
              <w:rPr>
                <w:rFonts w:ascii="游ゴシック" w:hAnsi="游ゴシック" w:eastAsia="游ゴシック"/>
                <w:b w:val="0"/>
                <w:i w:val="0"/>
                <w:sz w:val="17"/>
              </w:rPr>
              <w:t>居宅介護</w:t>
            </w:r>
          </w:p>
        </w:tc>
        <w:tc>
          <w:tcPr>
            <w:tcW w:type="dxa" w:w="2608"/>
            <w:vAlign w:val="center"/>
          </w:tcPr>
          <w:p>
            <w:pPr>
              <w:spacing w:before="20" w:after="20"/>
            </w:pPr>
            <w:r>
              <w:rPr>
                <w:rFonts w:ascii="游ゴシック" w:hAnsi="游ゴシック" w:eastAsia="游ゴシック"/>
                <w:b w:val="0"/>
                <w:i w:val="0"/>
                <w:sz w:val="17"/>
              </w:rPr>
              <w:t>居宅介護</w:t>
            </w:r>
          </w:p>
        </w:tc>
        <w:tc>
          <w:tcPr>
            <w:tcW w:type="dxa" w:w="1134"/>
            <w:vAlign w:val="center"/>
          </w:tcPr>
          <w:p>
            <w:pPr>
              <w:spacing w:before="20" w:after="20"/>
            </w:pPr>
            <w:r>
              <w:rPr>
                <w:rFonts w:ascii="游ゴシック" w:hAnsi="游ゴシック" w:eastAsia="游ゴシック"/>
                <w:b w:val="0"/>
                <w:i w:val="0"/>
                <w:sz w:val="17"/>
              </w:rPr>
              <w:t>6</w:t>
            </w:r>
          </w:p>
        </w:tc>
        <w:tc>
          <w:tcPr>
            <w:tcW w:type="dxa" w:w="1020"/>
            <w:vAlign w:val="center"/>
          </w:tcPr>
          <w:p>
            <w:pPr>
              <w:spacing w:before="20" w:after="20"/>
              <w:jc w:val="right"/>
            </w:pPr>
            <w:r>
              <w:rPr>
                <w:rFonts w:ascii="游ゴシック" w:hAnsi="游ゴシック" w:eastAsia="游ゴシック"/>
                <w:b w:val="0"/>
                <w:i w:val="0"/>
                <w:sz w:val="17"/>
              </w:rPr>
              <w:t>19</w:t>
            </w:r>
          </w:p>
        </w:tc>
        <w:tc>
          <w:tcPr>
            <w:tcW w:type="dxa" w:w="1134"/>
            <w:vAlign w:val="center"/>
          </w:tcPr>
          <w:p>
            <w:pPr>
              <w:spacing w:before="20" w:after="20"/>
              <w:jc w:val="right"/>
            </w:pPr>
            <w:r>
              <w:rPr>
                <w:rFonts w:ascii="游ゴシック" w:hAnsi="游ゴシック" w:eastAsia="游ゴシック"/>
                <w:b w:val="0"/>
                <w:i w:val="0"/>
                <w:sz w:val="17"/>
              </w:rPr>
              <w:t>83</w:t>
            </w:r>
          </w:p>
        </w:tc>
        <w:tc>
          <w:tcPr>
            <w:tcW w:type="dxa" w:w="2608"/>
            <w:vAlign w:val="center"/>
          </w:tcPr>
          <w:p>
            <w:pPr>
              <w:spacing w:before="20" w:after="20"/>
            </w:pPr>
            <w:r>
              <w:rPr>
                <w:rFonts w:ascii="游ゴシック" w:hAnsi="游ゴシック" w:eastAsia="游ゴシック"/>
                <w:b w:val="0"/>
                <w:i w:val="0"/>
                <w:sz w:val="17"/>
              </w:rPr>
              <w:t>線形トレンド</w:t>
            </w:r>
          </w:p>
        </w:tc>
      </w:tr>
      <w:tr>
        <w:tc>
          <w:tcPr>
            <w:tcW w:type="dxa" w:w="1247"/>
            <w:vAlign w:val="center"/>
          </w:tcPr>
          <w:p>
            <w:pPr>
              <w:spacing w:before="20" w:after="20"/>
            </w:pPr>
            <w:r>
              <w:rPr>
                <w:rFonts w:ascii="游ゴシック" w:hAnsi="游ゴシック" w:eastAsia="游ゴシック"/>
                <w:b w:val="0"/>
                <w:i w:val="0"/>
                <w:sz w:val="17"/>
              </w:rPr>
              <w:t>重度訪問介護</w:t>
            </w:r>
          </w:p>
        </w:tc>
        <w:tc>
          <w:tcPr>
            <w:tcW w:type="dxa" w:w="2608"/>
            <w:vAlign w:val="center"/>
          </w:tcPr>
          <w:p>
            <w:pPr>
              <w:spacing w:before="20" w:after="20"/>
            </w:pPr>
            <w:r>
              <w:rPr>
                <w:rFonts w:ascii="游ゴシック" w:hAnsi="游ゴシック" w:eastAsia="游ゴシック"/>
                <w:b w:val="0"/>
                <w:i w:val="0"/>
                <w:sz w:val="17"/>
              </w:rPr>
              <w:t>重度訪問介護</w:t>
            </w:r>
          </w:p>
        </w:tc>
        <w:tc>
          <w:tcPr>
            <w:tcW w:type="dxa" w:w="1134"/>
            <w:vAlign w:val="center"/>
          </w:tcPr>
          <w:p>
            <w:pPr>
              <w:spacing w:before="20" w:after="20"/>
            </w:pPr>
            <w:r>
              <w:rPr>
                <w:rFonts w:ascii="游ゴシック" w:hAnsi="游ゴシック" w:eastAsia="游ゴシック"/>
                <w:b w:val="0"/>
                <w:i w:val="0"/>
                <w:sz w:val="17"/>
              </w:rPr>
              <w:t>1</w:t>
            </w:r>
          </w:p>
        </w:tc>
        <w:tc>
          <w:tcPr>
            <w:tcW w:type="dxa" w:w="1020"/>
            <w:vAlign w:val="center"/>
          </w:tcPr>
          <w:p>
            <w:pPr>
              <w:spacing w:before="20" w:after="20"/>
              <w:jc w:val="right"/>
            </w:pPr>
            <w:r>
              <w:rPr>
                <w:rFonts w:ascii="游ゴシック" w:hAnsi="游ゴシック" w:eastAsia="游ゴシック"/>
                <w:b w:val="0"/>
                <w:i w:val="0"/>
                <w:sz w:val="17"/>
              </w:rPr>
              <w:t>6</w:t>
            </w:r>
          </w:p>
        </w:tc>
        <w:tc>
          <w:tcPr>
            <w:tcW w:type="dxa" w:w="1134"/>
            <w:vAlign w:val="center"/>
          </w:tcPr>
          <w:p>
            <w:pPr>
              <w:spacing w:before="20" w:after="20"/>
              <w:jc w:val="right"/>
            </w:pPr>
            <w:r>
              <w:rPr>
                <w:rFonts w:ascii="游ゴシック" w:hAnsi="游ゴシック" w:eastAsia="游ゴシック"/>
                <w:b w:val="0"/>
                <w:i w:val="0"/>
                <w:sz w:val="17"/>
              </w:rPr>
              <w:t>41</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同行援護</w:t>
            </w:r>
          </w:p>
        </w:tc>
        <w:tc>
          <w:tcPr>
            <w:tcW w:type="dxa" w:w="2608"/>
            <w:vAlign w:val="center"/>
          </w:tcPr>
          <w:p>
            <w:pPr>
              <w:spacing w:before="20" w:after="20"/>
            </w:pPr>
            <w:r>
              <w:rPr>
                <w:rFonts w:ascii="游ゴシック" w:hAnsi="游ゴシック" w:eastAsia="游ゴシック"/>
                <w:b w:val="0"/>
                <w:i w:val="0"/>
                <w:sz w:val="17"/>
              </w:rPr>
              <w:t>同行援護</w:t>
            </w:r>
          </w:p>
        </w:tc>
        <w:tc>
          <w:tcPr>
            <w:tcW w:type="dxa" w:w="1134"/>
            <w:vAlign w:val="center"/>
          </w:tcPr>
          <w:p>
            <w:pPr>
              <w:spacing w:before="20" w:after="20"/>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134"/>
            <w:vAlign w:val="center"/>
          </w:tcPr>
          <w:p>
            <w:pPr>
              <w:spacing w:before="20" w:after="20"/>
              <w:jc w:val="right"/>
            </w:pPr>
            <w:r>
              <w:rPr>
                <w:rFonts w:ascii="游ゴシック" w:hAnsi="游ゴシック" w:eastAsia="游ゴシック"/>
                <w:b w:val="0"/>
                <w:i w:val="0"/>
                <w:sz w:val="17"/>
              </w:rPr>
              <w:t>22</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行動援護</w:t>
            </w:r>
          </w:p>
        </w:tc>
        <w:tc>
          <w:tcPr>
            <w:tcW w:type="dxa" w:w="2608"/>
            <w:vAlign w:val="center"/>
          </w:tcPr>
          <w:p>
            <w:pPr>
              <w:spacing w:before="20" w:after="20"/>
            </w:pPr>
            <w:r>
              <w:rPr>
                <w:rFonts w:ascii="游ゴシック" w:hAnsi="游ゴシック" w:eastAsia="游ゴシック"/>
                <w:b w:val="0"/>
                <w:i w:val="0"/>
                <w:sz w:val="17"/>
              </w:rPr>
              <w:t>行動援護</w:t>
            </w:r>
          </w:p>
        </w:tc>
        <w:tc>
          <w:tcPr>
            <w:tcW w:type="dxa" w:w="1134"/>
            <w:vAlign w:val="center"/>
          </w:tcPr>
          <w:p>
            <w:pPr>
              <w:spacing w:before="20" w:after="20"/>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0</w:t>
            </w:r>
          </w:p>
        </w:tc>
        <w:tc>
          <w:tcPr>
            <w:tcW w:type="dxa" w:w="1134"/>
            <w:vAlign w:val="center"/>
          </w:tcPr>
          <w:p>
            <w:pPr>
              <w:spacing w:before="20" w:after="20"/>
              <w:jc w:val="right"/>
            </w:pPr>
            <w:r>
              <w:rPr>
                <w:rFonts w:ascii="游ゴシック" w:hAnsi="游ゴシック" w:eastAsia="游ゴシック"/>
                <w:b w:val="0"/>
                <w:i w:val="0"/>
                <w:sz w:val="17"/>
              </w:rPr>
              <w:t>32</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重度包括</w:t>
            </w:r>
          </w:p>
        </w:tc>
        <w:tc>
          <w:tcPr>
            <w:tcW w:type="dxa" w:w="2608"/>
            <w:vAlign w:val="center"/>
          </w:tcPr>
          <w:p>
            <w:pPr>
              <w:spacing w:before="20" w:after="20"/>
            </w:pPr>
            <w:r>
              <w:rPr>
                <w:rFonts w:ascii="游ゴシック" w:hAnsi="游ゴシック" w:eastAsia="游ゴシック"/>
                <w:b w:val="0"/>
                <w:i w:val="0"/>
                <w:sz w:val="17"/>
              </w:rPr>
              <w:t>重度障害者等包括支援</w:t>
            </w:r>
          </w:p>
        </w:tc>
        <w:tc>
          <w:tcPr>
            <w:tcW w:type="dxa" w:w="1134"/>
            <w:vAlign w:val="center"/>
          </w:tcPr>
          <w:p>
            <w:pPr>
              <w:spacing w:before="20" w:after="20"/>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5</w:t>
            </w:r>
          </w:p>
        </w:tc>
        <w:tc>
          <w:tcPr>
            <w:tcW w:type="dxa" w:w="1134"/>
            <w:vAlign w:val="center"/>
          </w:tcPr>
          <w:p>
            <w:pPr>
              <w:spacing w:before="20" w:after="20"/>
              <w:jc w:val="right"/>
            </w:pPr>
            <w:r>
              <w:rPr>
                <w:rFonts w:ascii="游ゴシック" w:hAnsi="游ゴシック" w:eastAsia="游ゴシック"/>
                <w:b w:val="0"/>
                <w:i w:val="0"/>
                <w:sz w:val="17"/>
              </w:rPr>
              <w:t>38</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生活介護</w:t>
            </w:r>
          </w:p>
        </w:tc>
        <w:tc>
          <w:tcPr>
            <w:tcW w:type="dxa" w:w="2608"/>
            <w:vAlign w:val="center"/>
          </w:tcPr>
          <w:p>
            <w:pPr>
              <w:spacing w:before="20" w:after="20"/>
            </w:pPr>
            <w:r>
              <w:rPr>
                <w:rFonts w:ascii="游ゴシック" w:hAnsi="游ゴシック" w:eastAsia="游ゴシック"/>
                <w:b w:val="0"/>
                <w:i w:val="0"/>
                <w:sz w:val="17"/>
              </w:rPr>
              <w:t>生活介護</w:t>
            </w:r>
          </w:p>
        </w:tc>
        <w:tc>
          <w:tcPr>
            <w:tcW w:type="dxa" w:w="1134"/>
            <w:vAlign w:val="center"/>
          </w:tcPr>
          <w:p>
            <w:pPr>
              <w:spacing w:before="20" w:after="20"/>
            </w:pPr>
            <w:r>
              <w:rPr>
                <w:rFonts w:ascii="游ゴシック" w:hAnsi="游ゴシック" w:eastAsia="游ゴシック"/>
                <w:b w:val="0"/>
                <w:i w:val="0"/>
                <w:sz w:val="17"/>
              </w:rPr>
              <w:t>30</w:t>
            </w:r>
          </w:p>
        </w:tc>
        <w:tc>
          <w:tcPr>
            <w:tcW w:type="dxa" w:w="1020"/>
            <w:vAlign w:val="center"/>
          </w:tcPr>
          <w:p>
            <w:pPr>
              <w:spacing w:before="20" w:after="20"/>
              <w:jc w:val="right"/>
            </w:pPr>
            <w:r>
              <w:rPr>
                <w:rFonts w:ascii="游ゴシック" w:hAnsi="游ゴシック" w:eastAsia="游ゴシック"/>
                <w:b w:val="0"/>
                <w:i w:val="0"/>
                <w:sz w:val="17"/>
              </w:rPr>
              <w:t>25</w:t>
            </w:r>
          </w:p>
        </w:tc>
        <w:tc>
          <w:tcPr>
            <w:tcW w:type="dxa" w:w="1134"/>
            <w:vAlign w:val="center"/>
          </w:tcPr>
          <w:p>
            <w:pPr>
              <w:spacing w:before="20" w:after="20"/>
              <w:jc w:val="right"/>
            </w:pPr>
            <w:r>
              <w:rPr>
                <w:rFonts w:ascii="游ゴシック" w:hAnsi="游ゴシック" w:eastAsia="游ゴシック"/>
                <w:b w:val="0"/>
                <w:i w:val="0"/>
                <w:sz w:val="17"/>
              </w:rPr>
              <w:t>73</w:t>
            </w:r>
          </w:p>
        </w:tc>
        <w:tc>
          <w:tcPr>
            <w:tcW w:type="dxa" w:w="2608"/>
            <w:vAlign w:val="center"/>
          </w:tcPr>
          <w:p>
            <w:pPr>
              <w:spacing w:before="20" w:after="20"/>
            </w:pPr>
            <w:r>
              <w:rPr>
                <w:rFonts w:ascii="游ゴシック" w:hAnsi="游ゴシック" w:eastAsia="游ゴシック"/>
                <w:b w:val="0"/>
                <w:i w:val="0"/>
                <w:sz w:val="17"/>
              </w:rPr>
              <w:t>直近3年平均</w:t>
            </w:r>
          </w:p>
        </w:tc>
      </w:tr>
      <w:tr>
        <w:tc>
          <w:tcPr>
            <w:tcW w:type="dxa" w:w="1247"/>
            <w:vAlign w:val="center"/>
          </w:tcPr>
          <w:p>
            <w:pPr>
              <w:spacing w:before="20" w:after="20"/>
            </w:pPr>
            <w:r>
              <w:rPr>
                <w:rFonts w:ascii="游ゴシック" w:hAnsi="游ゴシック" w:eastAsia="游ゴシック"/>
                <w:b w:val="0"/>
                <w:i w:val="0"/>
                <w:sz w:val="17"/>
              </w:rPr>
              <w:t>宿泊型自立訓練</w:t>
            </w:r>
          </w:p>
        </w:tc>
        <w:tc>
          <w:tcPr>
            <w:tcW w:type="dxa" w:w="2608"/>
            <w:vAlign w:val="center"/>
          </w:tcPr>
          <w:p>
            <w:pPr>
              <w:spacing w:before="20" w:after="20"/>
            </w:pPr>
            <w:r>
              <w:rPr>
                <w:rFonts w:ascii="游ゴシック" w:hAnsi="游ゴシック" w:eastAsia="游ゴシック"/>
                <w:b w:val="0"/>
                <w:i w:val="0"/>
                <w:sz w:val="17"/>
              </w:rPr>
              <w:t>自立訓練（生活訓練）</w:t>
            </w:r>
          </w:p>
        </w:tc>
        <w:tc>
          <w:tcPr>
            <w:tcW w:type="dxa" w:w="1134"/>
            <w:vAlign w:val="center"/>
          </w:tcPr>
          <w:p>
            <w:pPr>
              <w:spacing w:before="20" w:after="20"/>
            </w:pPr>
            <w:r>
              <w:rPr>
                <w:rFonts w:ascii="游ゴシック" w:hAnsi="游ゴシック" w:eastAsia="游ゴシック"/>
                <w:b w:val="0"/>
                <w:i w:val="0"/>
                <w:sz w:val="17"/>
              </w:rPr>
              <w:t>2</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134"/>
            <w:vAlign w:val="center"/>
          </w:tcPr>
          <w:p>
            <w:pPr>
              <w:spacing w:before="20" w:after="20"/>
              <w:jc w:val="right"/>
            </w:pPr>
            <w:r>
              <w:rPr>
                <w:rFonts w:ascii="游ゴシック" w:hAnsi="游ゴシック" w:eastAsia="游ゴシック"/>
                <w:b w:val="0"/>
                <w:i w:val="0"/>
                <w:sz w:val="17"/>
              </w:rPr>
              <w:t>24</w:t>
            </w:r>
          </w:p>
        </w:tc>
        <w:tc>
          <w:tcPr>
            <w:tcW w:type="dxa" w:w="2608"/>
            <w:vAlign w:val="center"/>
          </w:tcPr>
          <w:p>
            <w:pPr>
              <w:spacing w:before="20" w:after="20"/>
            </w:pPr>
            <w:r>
              <w:rPr>
                <w:rFonts w:ascii="游ゴシック" w:hAnsi="游ゴシック" w:eastAsia="游ゴシック"/>
                <w:b w:val="0"/>
                <w:i w:val="0"/>
                <w:sz w:val="17"/>
              </w:rPr>
              <w:t>直近2年平均</w:t>
            </w:r>
          </w:p>
        </w:tc>
      </w:tr>
      <w:tr>
        <w:tc>
          <w:tcPr>
            <w:tcW w:type="dxa" w:w="1247"/>
            <w:vAlign w:val="center"/>
          </w:tcPr>
          <w:p>
            <w:pPr>
              <w:spacing w:before="20" w:after="20"/>
            </w:pPr>
            <w:r>
              <w:rPr>
                <w:rFonts w:ascii="游ゴシック" w:hAnsi="游ゴシック" w:eastAsia="游ゴシック"/>
                <w:b w:val="0"/>
                <w:i w:val="0"/>
                <w:sz w:val="17"/>
              </w:rPr>
              <w:t>就労移行</w:t>
            </w:r>
          </w:p>
        </w:tc>
        <w:tc>
          <w:tcPr>
            <w:tcW w:type="dxa" w:w="2608"/>
            <w:vAlign w:val="center"/>
          </w:tcPr>
          <w:p>
            <w:pPr>
              <w:spacing w:before="20" w:after="20"/>
            </w:pPr>
            <w:r>
              <w:rPr>
                <w:rFonts w:ascii="游ゴシック" w:hAnsi="游ゴシック" w:eastAsia="游ゴシック"/>
                <w:b w:val="0"/>
                <w:i w:val="0"/>
                <w:sz w:val="17"/>
              </w:rPr>
              <w:t>就労移行支援</w:t>
            </w:r>
          </w:p>
        </w:tc>
        <w:tc>
          <w:tcPr>
            <w:tcW w:type="dxa" w:w="1134"/>
            <w:vAlign w:val="center"/>
          </w:tcPr>
          <w:p>
            <w:pPr>
              <w:spacing w:before="20" w:after="20"/>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1</w:t>
            </w:r>
          </w:p>
        </w:tc>
        <w:tc>
          <w:tcPr>
            <w:tcW w:type="dxa" w:w="1134"/>
            <w:vAlign w:val="center"/>
          </w:tcPr>
          <w:p>
            <w:pPr>
              <w:spacing w:before="20" w:after="20"/>
              <w:jc w:val="right"/>
            </w:pPr>
            <w:r>
              <w:rPr>
                <w:rFonts w:ascii="游ゴシック" w:hAnsi="游ゴシック" w:eastAsia="游ゴシック"/>
                <w:b w:val="0"/>
                <w:i w:val="0"/>
                <w:sz w:val="17"/>
              </w:rPr>
              <w:t>26</w:t>
            </w:r>
          </w:p>
        </w:tc>
        <w:tc>
          <w:tcPr>
            <w:tcW w:type="dxa" w:w="2608"/>
            <w:vAlign w:val="center"/>
          </w:tcPr>
          <w:p>
            <w:pPr>
              <w:spacing w:before="20" w:after="20"/>
            </w:pPr>
            <w:r>
              <w:rPr>
                <w:rFonts w:ascii="游ゴシック" w:hAnsi="游ゴシック" w:eastAsia="游ゴシック"/>
                <w:b w:val="0"/>
                <w:i w:val="0"/>
                <w:sz w:val="17"/>
              </w:rPr>
              <w:t>政策調整</w:t>
            </w:r>
          </w:p>
        </w:tc>
      </w:tr>
      <w:tr>
        <w:tc>
          <w:tcPr>
            <w:tcW w:type="dxa" w:w="1247"/>
            <w:vAlign w:val="center"/>
          </w:tcPr>
          <w:p>
            <w:pPr>
              <w:spacing w:before="20" w:after="20"/>
            </w:pPr>
            <w:r>
              <w:rPr>
                <w:rFonts w:ascii="游ゴシック" w:hAnsi="游ゴシック" w:eastAsia="游ゴシック"/>
                <w:b w:val="0"/>
                <w:i w:val="0"/>
                <w:sz w:val="17"/>
              </w:rPr>
              <w:t>就労継続</w:t>
            </w:r>
          </w:p>
        </w:tc>
        <w:tc>
          <w:tcPr>
            <w:tcW w:type="dxa" w:w="2608"/>
            <w:vAlign w:val="center"/>
          </w:tcPr>
          <w:p>
            <w:pPr>
              <w:spacing w:before="20" w:after="20"/>
            </w:pPr>
            <w:r>
              <w:rPr>
                <w:rFonts w:ascii="游ゴシック" w:hAnsi="游ゴシック" w:eastAsia="游ゴシック"/>
                <w:b w:val="0"/>
                <w:i w:val="0"/>
                <w:sz w:val="17"/>
              </w:rPr>
              <w:t>就労継続支援A型／就労継続支援B型</w:t>
            </w:r>
          </w:p>
        </w:tc>
        <w:tc>
          <w:tcPr>
            <w:tcW w:type="dxa" w:w="1134"/>
            <w:vAlign w:val="center"/>
          </w:tcPr>
          <w:p>
            <w:pPr>
              <w:spacing w:before="20" w:after="20"/>
            </w:pPr>
            <w:r>
              <w:rPr>
                <w:rFonts w:ascii="游ゴシック" w:hAnsi="游ゴシック" w:eastAsia="游ゴシック"/>
                <w:b w:val="0"/>
                <w:i w:val="0"/>
                <w:sz w:val="17"/>
              </w:rPr>
              <w:t>11／36</w:t>
            </w:r>
          </w:p>
        </w:tc>
        <w:tc>
          <w:tcPr>
            <w:tcW w:type="dxa" w:w="1020"/>
            <w:vAlign w:val="center"/>
          </w:tcPr>
          <w:p>
            <w:pPr>
              <w:spacing w:before="20" w:after="20"/>
              <w:jc w:val="right"/>
            </w:pPr>
            <w:r>
              <w:rPr>
                <w:rFonts w:ascii="游ゴシック" w:hAnsi="游ゴシック" w:eastAsia="游ゴシック"/>
                <w:b w:val="0"/>
                <w:i w:val="0"/>
                <w:sz w:val="17"/>
              </w:rPr>
              <w:t>14</w:t>
            </w:r>
          </w:p>
        </w:tc>
        <w:tc>
          <w:tcPr>
            <w:tcW w:type="dxa" w:w="1134"/>
            <w:vAlign w:val="center"/>
          </w:tcPr>
          <w:p>
            <w:pPr>
              <w:spacing w:before="20" w:after="20"/>
              <w:jc w:val="right"/>
            </w:pPr>
            <w:r>
              <w:rPr>
                <w:rFonts w:ascii="游ゴシック" w:hAnsi="游ゴシック" w:eastAsia="游ゴシック"/>
                <w:b w:val="0"/>
                <w:i w:val="0"/>
                <w:sz w:val="17"/>
              </w:rPr>
              <w:t>27</w:t>
            </w:r>
          </w:p>
        </w:tc>
        <w:tc>
          <w:tcPr>
            <w:tcW w:type="dxa" w:w="2608"/>
            <w:vAlign w:val="center"/>
          </w:tcPr>
          <w:p>
            <w:pPr>
              <w:spacing w:before="20" w:after="20"/>
            </w:pPr>
            <w:r>
              <w:rPr>
                <w:rFonts w:ascii="游ゴシック" w:hAnsi="游ゴシック" w:eastAsia="游ゴシック"/>
                <w:b w:val="0"/>
                <w:i w:val="0"/>
                <w:sz w:val="17"/>
              </w:rPr>
              <w:t>線形トレンド／直近2年平均</w:t>
            </w:r>
          </w:p>
        </w:tc>
      </w:tr>
      <w:tr>
        <w:tc>
          <w:tcPr>
            <w:tcW w:type="dxa" w:w="1247"/>
            <w:vAlign w:val="center"/>
          </w:tcPr>
          <w:p>
            <w:pPr>
              <w:spacing w:before="20" w:after="20"/>
            </w:pPr>
            <w:r>
              <w:rPr>
                <w:rFonts w:ascii="游ゴシック" w:hAnsi="游ゴシック" w:eastAsia="游ゴシック"/>
                <w:b w:val="0"/>
                <w:i w:val="0"/>
                <w:sz w:val="17"/>
              </w:rPr>
              <w:t>療養介護</w:t>
            </w:r>
          </w:p>
        </w:tc>
        <w:tc>
          <w:tcPr>
            <w:tcW w:type="dxa" w:w="2608"/>
            <w:vAlign w:val="center"/>
          </w:tcPr>
          <w:p>
            <w:pPr>
              <w:spacing w:before="20" w:after="20"/>
            </w:pPr>
            <w:r>
              <w:rPr>
                <w:rFonts w:ascii="游ゴシック" w:hAnsi="游ゴシック" w:eastAsia="游ゴシック"/>
                <w:b w:val="0"/>
                <w:i w:val="0"/>
                <w:sz w:val="17"/>
              </w:rPr>
              <w:t>療養介護</w:t>
            </w:r>
          </w:p>
        </w:tc>
        <w:tc>
          <w:tcPr>
            <w:tcW w:type="dxa" w:w="1134"/>
            <w:vAlign w:val="center"/>
          </w:tcPr>
          <w:p>
            <w:pPr>
              <w:spacing w:before="20" w:after="20"/>
            </w:pPr>
            <w:r>
              <w:rPr>
                <w:rFonts w:ascii="游ゴシック" w:hAnsi="游ゴシック" w:eastAsia="游ゴシック"/>
                <w:b w:val="0"/>
                <w:i w:val="0"/>
                <w:sz w:val="17"/>
              </w:rPr>
              <w:t>3</w:t>
            </w:r>
          </w:p>
        </w:tc>
        <w:tc>
          <w:tcPr>
            <w:tcW w:type="dxa" w:w="1020"/>
            <w:vAlign w:val="center"/>
          </w:tcPr>
          <w:p>
            <w:pPr>
              <w:spacing w:before="20" w:after="20"/>
              <w:jc w:val="right"/>
            </w:pPr>
            <w:r>
              <w:rPr>
                <w:rFonts w:ascii="游ゴシック" w:hAnsi="游ゴシック" w:eastAsia="游ゴシック"/>
                <w:b w:val="0"/>
                <w:i w:val="0"/>
                <w:sz w:val="17"/>
              </w:rPr>
              <w:t>3</w:t>
            </w:r>
          </w:p>
        </w:tc>
        <w:tc>
          <w:tcPr>
            <w:tcW w:type="dxa" w:w="1134"/>
            <w:vAlign w:val="center"/>
          </w:tcPr>
          <w:p>
            <w:pPr>
              <w:spacing w:before="20" w:after="20"/>
              <w:jc w:val="right"/>
            </w:pPr>
            <w:r>
              <w:rPr>
                <w:rFonts w:ascii="游ゴシック" w:hAnsi="游ゴシック" w:eastAsia="游ゴシック"/>
                <w:b w:val="0"/>
                <w:i w:val="0"/>
                <w:sz w:val="17"/>
              </w:rPr>
              <w:t>29</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短期入所</w:t>
            </w:r>
          </w:p>
        </w:tc>
        <w:tc>
          <w:tcPr>
            <w:tcW w:type="dxa" w:w="2608"/>
            <w:vAlign w:val="center"/>
          </w:tcPr>
          <w:p>
            <w:pPr>
              <w:spacing w:before="20" w:after="20"/>
            </w:pPr>
            <w:r>
              <w:rPr>
                <w:rFonts w:ascii="游ゴシック" w:hAnsi="游ゴシック" w:eastAsia="游ゴシック"/>
                <w:b w:val="0"/>
                <w:i w:val="0"/>
                <w:sz w:val="17"/>
              </w:rPr>
              <w:t>短期入所（福祉型）／短期入所（医療型）</w:t>
            </w:r>
          </w:p>
        </w:tc>
        <w:tc>
          <w:tcPr>
            <w:tcW w:type="dxa" w:w="1134"/>
            <w:vAlign w:val="center"/>
          </w:tcPr>
          <w:p>
            <w:pPr>
              <w:spacing w:before="20" w:after="20"/>
            </w:pPr>
            <w:r>
              <w:rPr>
                <w:rFonts w:ascii="游ゴシック" w:hAnsi="游ゴシック" w:eastAsia="游ゴシック"/>
                <w:b w:val="0"/>
                <w:i w:val="0"/>
                <w:sz w:val="17"/>
              </w:rPr>
              <w:t>0／0</w:t>
            </w:r>
          </w:p>
        </w:tc>
        <w:tc>
          <w:tcPr>
            <w:tcW w:type="dxa" w:w="1020"/>
            <w:vAlign w:val="center"/>
          </w:tcPr>
          <w:p>
            <w:pPr>
              <w:spacing w:before="20" w:after="20"/>
              <w:jc w:val="right"/>
            </w:pPr>
            <w:r>
              <w:rPr>
                <w:rFonts w:ascii="游ゴシック" w:hAnsi="游ゴシック" w:eastAsia="游ゴシック"/>
                <w:b w:val="0"/>
                <w:i w:val="0"/>
                <w:sz w:val="17"/>
              </w:rPr>
              <w:t>9</w:t>
            </w:r>
          </w:p>
        </w:tc>
        <w:tc>
          <w:tcPr>
            <w:tcW w:type="dxa" w:w="1134"/>
            <w:vAlign w:val="center"/>
          </w:tcPr>
          <w:p>
            <w:pPr>
              <w:spacing w:before="20" w:after="20"/>
              <w:jc w:val="right"/>
            </w:pPr>
            <w:r>
              <w:rPr>
                <w:rFonts w:ascii="游ゴシック" w:hAnsi="游ゴシック" w:eastAsia="游ゴシック"/>
                <w:b w:val="0"/>
                <w:i w:val="0"/>
                <w:sz w:val="17"/>
              </w:rPr>
              <w:t>67</w:t>
            </w:r>
          </w:p>
        </w:tc>
        <w:tc>
          <w:tcPr>
            <w:tcW w:type="dxa" w:w="2608"/>
            <w:vAlign w:val="center"/>
          </w:tcPr>
          <w:p>
            <w:pPr>
              <w:spacing w:before="20" w:after="20"/>
            </w:pPr>
            <w:r>
              <w:rPr>
                <w:rFonts w:ascii="游ゴシック" w:hAnsi="游ゴシック" w:eastAsia="游ゴシック"/>
                <w:b w:val="0"/>
                <w:i w:val="0"/>
                <w:sz w:val="17"/>
              </w:rPr>
              <w:t>直近実績横ばい</w:t>
            </w:r>
          </w:p>
        </w:tc>
      </w:tr>
      <w:tr>
        <w:tc>
          <w:tcPr>
            <w:tcW w:type="dxa" w:w="1247"/>
            <w:vAlign w:val="center"/>
          </w:tcPr>
          <w:p>
            <w:pPr>
              <w:spacing w:before="20" w:after="20"/>
            </w:pPr>
            <w:r>
              <w:rPr>
                <w:rFonts w:ascii="游ゴシック" w:hAnsi="游ゴシック" w:eastAsia="游ゴシック"/>
                <w:b w:val="0"/>
                <w:i w:val="0"/>
                <w:sz w:val="17"/>
              </w:rPr>
              <w:t>共同生活援助</w:t>
            </w:r>
          </w:p>
        </w:tc>
        <w:tc>
          <w:tcPr>
            <w:tcW w:type="dxa" w:w="2608"/>
            <w:vAlign w:val="center"/>
          </w:tcPr>
          <w:p>
            <w:pPr>
              <w:spacing w:before="20" w:after="20"/>
            </w:pPr>
            <w:r>
              <w:rPr>
                <w:rFonts w:ascii="游ゴシック" w:hAnsi="游ゴシック" w:eastAsia="游ゴシック"/>
                <w:b w:val="0"/>
                <w:i w:val="0"/>
                <w:sz w:val="17"/>
              </w:rPr>
              <w:t>共同生活援助（グループホーム）</w:t>
            </w:r>
          </w:p>
        </w:tc>
        <w:tc>
          <w:tcPr>
            <w:tcW w:type="dxa" w:w="1134"/>
            <w:vAlign w:val="center"/>
          </w:tcPr>
          <w:p>
            <w:pPr>
              <w:spacing w:before="20" w:after="20"/>
            </w:pPr>
            <w:r>
              <w:rPr>
                <w:rFonts w:ascii="游ゴシック" w:hAnsi="游ゴシック" w:eastAsia="游ゴシック"/>
                <w:b w:val="0"/>
                <w:i w:val="0"/>
                <w:sz w:val="17"/>
              </w:rPr>
              <w:t>18</w:t>
            </w:r>
          </w:p>
        </w:tc>
        <w:tc>
          <w:tcPr>
            <w:tcW w:type="dxa" w:w="1020"/>
            <w:vAlign w:val="center"/>
          </w:tcPr>
          <w:p>
            <w:pPr>
              <w:spacing w:before="20" w:after="20"/>
              <w:jc w:val="right"/>
            </w:pPr>
            <w:r>
              <w:rPr>
                <w:rFonts w:ascii="游ゴシック" w:hAnsi="游ゴシック" w:eastAsia="游ゴシック"/>
                <w:b w:val="0"/>
                <w:i w:val="0"/>
                <w:sz w:val="17"/>
              </w:rPr>
              <w:t>8</w:t>
            </w:r>
          </w:p>
        </w:tc>
        <w:tc>
          <w:tcPr>
            <w:tcW w:type="dxa" w:w="1134"/>
            <w:vAlign w:val="center"/>
          </w:tcPr>
          <w:p>
            <w:pPr>
              <w:spacing w:before="20" w:after="20"/>
              <w:jc w:val="right"/>
            </w:pPr>
            <w:r>
              <w:rPr>
                <w:rFonts w:ascii="游ゴシック" w:hAnsi="游ゴシック" w:eastAsia="游ゴシック"/>
                <w:b w:val="0"/>
                <w:i w:val="0"/>
                <w:sz w:val="17"/>
              </w:rPr>
              <w:t>49</w:t>
            </w:r>
          </w:p>
        </w:tc>
        <w:tc>
          <w:tcPr>
            <w:tcW w:type="dxa" w:w="2608"/>
            <w:vAlign w:val="center"/>
          </w:tcPr>
          <w:p>
            <w:pPr>
              <w:spacing w:before="20" w:after="20"/>
            </w:pPr>
            <w:r>
              <w:rPr>
                <w:rFonts w:ascii="游ゴシック" w:hAnsi="游ゴシック" w:eastAsia="游ゴシック"/>
                <w:b w:val="0"/>
                <w:i w:val="0"/>
                <w:sz w:val="17"/>
              </w:rPr>
              <w:t>線形トレンド</w:t>
            </w:r>
          </w:p>
        </w:tc>
      </w:tr>
      <w:tr>
        <w:tc>
          <w:tcPr>
            <w:tcW w:type="dxa" w:w="1247"/>
            <w:vAlign w:val="center"/>
          </w:tcPr>
          <w:p>
            <w:pPr>
              <w:spacing w:before="20" w:after="20"/>
            </w:pPr>
            <w:r>
              <w:rPr>
                <w:rFonts w:ascii="游ゴシック" w:hAnsi="游ゴシック" w:eastAsia="游ゴシック"/>
                <w:b w:val="0"/>
                <w:i w:val="0"/>
                <w:sz w:val="17"/>
              </w:rPr>
              <w:t>施設入所</w:t>
            </w:r>
          </w:p>
        </w:tc>
        <w:tc>
          <w:tcPr>
            <w:tcW w:type="dxa" w:w="2608"/>
            <w:vAlign w:val="center"/>
          </w:tcPr>
          <w:p>
            <w:pPr>
              <w:spacing w:before="20" w:after="20"/>
            </w:pPr>
            <w:r>
              <w:rPr>
                <w:rFonts w:ascii="游ゴシック" w:hAnsi="游ゴシック" w:eastAsia="游ゴシック"/>
                <w:b w:val="0"/>
                <w:i w:val="0"/>
                <w:sz w:val="17"/>
              </w:rPr>
              <w:t>施設入所支援</w:t>
            </w:r>
          </w:p>
        </w:tc>
        <w:tc>
          <w:tcPr>
            <w:tcW w:type="dxa" w:w="1134"/>
            <w:vAlign w:val="center"/>
          </w:tcPr>
          <w:p>
            <w:pPr>
              <w:spacing w:before="20" w:after="20"/>
            </w:pPr>
            <w:r>
              <w:rPr>
                <w:rFonts w:ascii="游ゴシック" w:hAnsi="游ゴシック" w:eastAsia="游ゴシック"/>
                <w:b w:val="0"/>
                <w:i w:val="0"/>
                <w:sz w:val="17"/>
              </w:rPr>
              <w:t>18</w:t>
            </w:r>
          </w:p>
        </w:tc>
        <w:tc>
          <w:tcPr>
            <w:tcW w:type="dxa" w:w="1020"/>
            <w:vAlign w:val="center"/>
          </w:tcPr>
          <w:p>
            <w:pPr>
              <w:spacing w:before="20" w:after="20"/>
              <w:jc w:val="right"/>
            </w:pPr>
            <w:r>
              <w:rPr>
                <w:rFonts w:ascii="游ゴシック" w:hAnsi="游ゴシック" w:eastAsia="游ゴシック"/>
                <w:b w:val="0"/>
                <w:i w:val="0"/>
                <w:sz w:val="17"/>
              </w:rPr>
              <w:t>18</w:t>
            </w:r>
          </w:p>
        </w:tc>
        <w:tc>
          <w:tcPr>
            <w:tcW w:type="dxa" w:w="1134"/>
            <w:vAlign w:val="center"/>
          </w:tcPr>
          <w:p>
            <w:pPr>
              <w:spacing w:before="20" w:after="20"/>
              <w:jc w:val="right"/>
            </w:pPr>
            <w:r>
              <w:rPr>
                <w:rFonts w:ascii="游ゴシック" w:hAnsi="游ゴシック" w:eastAsia="游ゴシック"/>
                <w:b w:val="0"/>
                <w:i w:val="0"/>
                <w:sz w:val="17"/>
              </w:rPr>
              <w:t>54</w:t>
            </w:r>
          </w:p>
        </w:tc>
        <w:tc>
          <w:tcPr>
            <w:tcW w:type="dxa" w:w="2608"/>
            <w:vAlign w:val="center"/>
          </w:tcPr>
          <w:p>
            <w:pPr>
              <w:spacing w:before="20" w:after="20"/>
            </w:pPr>
            <w:r>
              <w:rPr>
                <w:rFonts w:ascii="游ゴシック" w:hAnsi="游ゴシック" w:eastAsia="游ゴシック"/>
                <w:b w:val="0"/>
                <w:i w:val="0"/>
                <w:sz w:val="17"/>
              </w:rPr>
              <w:t>政策調整</w:t>
            </w:r>
          </w:p>
        </w:tc>
      </w:tr>
      <w:tr>
        <w:tc>
          <w:tcPr>
            <w:tcW w:type="dxa" w:w="1247"/>
            <w:vAlign w:val="center"/>
          </w:tcPr>
          <w:p>
            <w:pPr>
              <w:spacing w:before="20" w:after="20"/>
            </w:pPr>
            <w:r>
              <w:rPr>
                <w:rFonts w:ascii="游ゴシック" w:hAnsi="游ゴシック" w:eastAsia="游ゴシック"/>
                <w:b w:val="0"/>
                <w:i w:val="0"/>
                <w:sz w:val="17"/>
              </w:rPr>
              <w:t>相談支援</w:t>
            </w:r>
          </w:p>
        </w:tc>
        <w:tc>
          <w:tcPr>
            <w:tcW w:type="dxa" w:w="2608"/>
            <w:vAlign w:val="center"/>
          </w:tcPr>
          <w:p>
            <w:pPr>
              <w:spacing w:before="20" w:after="20"/>
            </w:pPr>
            <w:r>
              <w:rPr>
                <w:rFonts w:ascii="游ゴシック" w:hAnsi="游ゴシック" w:eastAsia="游ゴシック"/>
                <w:b w:val="0"/>
                <w:i w:val="0"/>
                <w:sz w:val="17"/>
              </w:rPr>
              <w:t>計画相談支援</w:t>
            </w:r>
          </w:p>
        </w:tc>
        <w:tc>
          <w:tcPr>
            <w:tcW w:type="dxa" w:w="1134"/>
            <w:vAlign w:val="center"/>
          </w:tcPr>
          <w:p>
            <w:pPr>
              <w:spacing w:before="20" w:after="20"/>
            </w:pPr>
            <w:r>
              <w:rPr>
                <w:rFonts w:ascii="游ゴシック" w:hAnsi="游ゴシック" w:eastAsia="游ゴシック"/>
                <w:b w:val="0"/>
                <w:i w:val="0"/>
                <w:sz w:val="17"/>
              </w:rPr>
              <w:t>15</w:t>
            </w:r>
          </w:p>
        </w:tc>
        <w:tc>
          <w:tcPr>
            <w:tcW w:type="dxa" w:w="1020"/>
            <w:vAlign w:val="center"/>
          </w:tcPr>
          <w:p>
            <w:pPr>
              <w:spacing w:before="20" w:after="20"/>
              <w:jc w:val="right"/>
            </w:pPr>
            <w:r>
              <w:rPr>
                <w:rFonts w:ascii="游ゴシック" w:hAnsi="游ゴシック" w:eastAsia="游ゴシック"/>
                <w:b w:val="0"/>
                <w:i w:val="0"/>
                <w:sz w:val="17"/>
              </w:rPr>
              <w:t>37</w:t>
            </w:r>
          </w:p>
        </w:tc>
        <w:tc>
          <w:tcPr>
            <w:tcW w:type="dxa" w:w="1134"/>
            <w:vAlign w:val="center"/>
          </w:tcPr>
          <w:p>
            <w:pPr>
              <w:spacing w:before="20" w:after="20"/>
              <w:jc w:val="right"/>
            </w:pPr>
            <w:r>
              <w:rPr>
                <w:rFonts w:ascii="游ゴシック" w:hAnsi="游ゴシック" w:eastAsia="游ゴシック"/>
                <w:b w:val="0"/>
                <w:i w:val="0"/>
                <w:sz w:val="17"/>
              </w:rPr>
              <w:t>84</w:t>
            </w:r>
          </w:p>
        </w:tc>
        <w:tc>
          <w:tcPr>
            <w:tcW w:type="dxa" w:w="2608"/>
            <w:vAlign w:val="center"/>
          </w:tcPr>
          <w:p>
            <w:pPr>
              <w:spacing w:before="20" w:after="20"/>
            </w:pPr>
            <w:r>
              <w:rPr>
                <w:rFonts w:ascii="游ゴシック" w:hAnsi="游ゴシック" w:eastAsia="游ゴシック"/>
                <w:b w:val="0"/>
                <w:i w:val="0"/>
                <w:sz w:val="17"/>
              </w:rPr>
              <w:t>線形トレンド</w:t>
            </w:r>
          </w:p>
        </w:tc>
      </w:tr>
      <w:tr>
        <w:tc>
          <w:tcPr>
            <w:tcW w:type="dxa" w:w="1247"/>
            <w:vAlign w:val="center"/>
          </w:tcPr>
          <w:p>
            <w:pPr>
              <w:spacing w:before="20" w:after="20"/>
            </w:pPr>
            <w:r>
              <w:rPr>
                <w:rFonts w:ascii="游ゴシック" w:hAnsi="游ゴシック" w:eastAsia="游ゴシック"/>
                <w:b w:val="0"/>
                <w:i w:val="0"/>
                <w:sz w:val="17"/>
              </w:rPr>
              <w:t>就労選択</w:t>
            </w:r>
          </w:p>
        </w:tc>
        <w:tc>
          <w:tcPr>
            <w:tcW w:type="dxa" w:w="2608"/>
            <w:vAlign w:val="center"/>
          </w:tcPr>
          <w:p>
            <w:pPr>
              <w:spacing w:before="20" w:after="20"/>
            </w:pPr>
            <w:r>
              <w:rPr>
                <w:rFonts w:ascii="游ゴシック" w:hAnsi="游ゴシック" w:eastAsia="游ゴシック"/>
                <w:b w:val="0"/>
                <w:i w:val="0"/>
                <w:sz w:val="17"/>
              </w:rPr>
              <w:t>就労選択支援</w:t>
            </w:r>
          </w:p>
        </w:tc>
        <w:tc>
          <w:tcPr>
            <w:tcW w:type="dxa" w:w="1134"/>
            <w:vAlign w:val="center"/>
          </w:tcPr>
          <w:p>
            <w:pPr>
              <w:spacing w:before="20" w:after="20"/>
            </w:pPr>
            <w:r>
              <w:rPr>
                <w:rFonts w:ascii="游ゴシック" w:hAnsi="游ゴシック" w:eastAsia="游ゴシック"/>
                <w:b w:val="0"/>
                <w:i w:val="0"/>
                <w:sz w:val="17"/>
              </w:rPr>
              <w:t>0</w:t>
            </w:r>
          </w:p>
        </w:tc>
        <w:tc>
          <w:tcPr>
            <w:tcW w:type="dxa" w:w="1020"/>
            <w:vAlign w:val="center"/>
          </w:tcPr>
          <w:p>
            <w:pPr>
              <w:spacing w:before="20" w:after="20"/>
              <w:jc w:val="right"/>
            </w:pPr>
            <w:r>
              <w:rPr>
                <w:rFonts w:ascii="游ゴシック" w:hAnsi="游ゴシック" w:eastAsia="游ゴシック"/>
                <w:b w:val="0"/>
                <w:i w:val="0"/>
                <w:sz w:val="17"/>
              </w:rPr>
              <w:t>2</w:t>
            </w:r>
          </w:p>
        </w:tc>
        <w:tc>
          <w:tcPr>
            <w:tcW w:type="dxa" w:w="1134"/>
            <w:vAlign w:val="center"/>
          </w:tcPr>
          <w:p>
            <w:pPr>
              <w:spacing w:before="20" w:after="20"/>
              <w:jc w:val="right"/>
            </w:pPr>
            <w:r>
              <w:rPr>
                <w:rFonts w:ascii="游ゴシック" w:hAnsi="游ゴシック" w:eastAsia="游ゴシック"/>
                <w:b w:val="0"/>
                <w:i w:val="0"/>
                <w:sz w:val="17"/>
              </w:rPr>
              <w:t>35</w:t>
            </w:r>
          </w:p>
        </w:tc>
        <w:tc>
          <w:tcPr>
            <w:tcW w:type="dxa" w:w="2608"/>
            <w:vAlign w:val="center"/>
          </w:tcPr>
          <w:p>
            <w:pPr>
              <w:spacing w:before="20" w:after="20"/>
            </w:pPr>
            <w:r>
              <w:rPr>
                <w:rFonts w:ascii="游ゴシック" w:hAnsi="游ゴシック" w:eastAsia="游ゴシック"/>
                <w:b w:val="0"/>
                <w:i w:val="0"/>
                <w:sz w:val="17"/>
              </w:rPr>
              <w:t>政策調整</w:t>
            </w:r>
          </w:p>
        </w:tc>
      </w:tr>
    </w:tbl>
    <w:p>
      <w:pPr>
        <w:spacing w:after="40"/>
      </w:pPr>
    </w:p>
    <w:p>
      <w:pPr>
        <w:spacing w:before="40" w:after="160"/>
        <w:ind w:left="113"/>
      </w:pPr>
      <w:r>
        <w:rPr>
          <w:rFonts w:ascii="游ゴシック" w:hAnsi="游ゴシック" w:eastAsia="游ゴシック"/>
          <w:b w:val="0"/>
          <w:i w:val="0"/>
          <w:sz w:val="17"/>
        </w:rPr>
        <w:t>出典　障がい福祉に関するアンケート調査_集計表_20261006.xlsx（令和8年10月6日受領）問31、及び【受領】見込量目標値設定シート（令和8年9月7日）</w:t>
      </w:r>
    </w:p>
    <w:p>
      <w:pPr>
        <w:spacing w:before="60" w:after="60"/>
      </w:pPr>
      <w:r>
        <w:rPr>
          <w:rFonts w:ascii="游ゴシック" w:hAnsi="游ゴシック" w:eastAsia="游ゴシック"/>
          <w:b/>
          <w:i w:val="0"/>
          <w:sz w:val="21"/>
        </w:rPr>
        <w:t>R8実績が0で、かつ利用したいという回答があるのは6サービスです（同行援護22人、行動援護32人、重度包括38人、就労移行26人、短期入所67人、就労選択35人）。</w:t>
      </w:r>
      <w:r>
        <w:rPr>
          <w:rFonts w:ascii="游ゴシック" w:hAnsi="游ゴシック" w:eastAsia="游ゴシック"/>
          <w:b w:val="0"/>
          <w:i w:val="0"/>
          <w:sz w:val="21"/>
        </w:rPr>
        <w:t>回答者259人に対する人数であり、「利用したい」は希望であって需要の確定ではありません。報告書本文も利用意向をそのまま見込量に使えないことを明記しています。それでも、</w:t>
      </w:r>
      <w:r>
        <w:rPr>
          <w:rFonts w:ascii="游ゴシック" w:hAnsi="游ゴシック" w:eastAsia="游ゴシック"/>
          <w:b/>
          <w:i w:val="0"/>
          <w:sz w:val="21"/>
        </w:rPr>
        <w:t>0という置き方を据え置く根拠としては弱いと考えます。</w:t>
      </w:r>
    </w:p>
    <w:p>
      <w:pPr>
        <w:spacing w:before="40" w:after="40"/>
        <w:ind w:left="227"/>
      </w:pPr>
      <w:r>
        <w:rPr>
          <w:rFonts w:ascii="游ゴシック" w:hAnsi="游ゴシック" w:eastAsia="游ゴシック"/>
          <w:b w:val="0"/>
          <w:i w:val="0"/>
          <w:sz w:val="21"/>
        </w:rPr>
        <w:t>・0とするなら、なぜ0かを書きます。町内に事業所がない、圏域の他のサービスで対応している、支給決定の実績がない、のいずれかです。骨子案 表8は「実績0でも候補者の有無を確認し、0見込の根拠を記録する」と方針を書いており、その方針どおりに書けば足ります。</w:t>
      </w:r>
    </w:p>
    <w:p>
      <w:pPr>
        <w:spacing w:before="40" w:after="40"/>
        <w:ind w:left="227"/>
      </w:pPr>
      <w:r>
        <w:rPr>
          <w:rFonts w:ascii="游ゴシック" w:hAnsi="游ゴシック" w:eastAsia="游ゴシック"/>
          <w:b w:val="0"/>
          <w:i w:val="0"/>
          <w:sz w:val="21"/>
        </w:rPr>
        <w:t>・0としないなら、最低限の枠を置きます。他団体では、実績があるのに0としていたサービスを「実績あり・最低1人」として計上しました。</w:t>
      </w:r>
    </w:p>
    <w:p>
      <w:pPr>
        <w:spacing w:before="40" w:after="40"/>
        <w:ind w:left="227"/>
      </w:pPr>
      <w:r>
        <w:rPr>
          <w:rFonts w:ascii="游ゴシック" w:hAnsi="游ゴシック" w:eastAsia="游ゴシック"/>
          <w:b w:val="0"/>
          <w:i w:val="0"/>
          <w:sz w:val="21"/>
        </w:rPr>
        <w:t>・短期入所は、設定シートが福祉型と医療型に分けているのに対し、問31は「短期入所」の1項目です。意向をどちらに割るかは分かりません。個票が届いた後も、この区別は支給決定の実績で確かめる必要があります。</w:t>
      </w:r>
    </w:p>
    <w:p>
      <w:pPr>
        <w:pStyle w:val="Heading1"/>
        <w:keepNext/>
        <w:spacing w:before="240" w:after="100"/>
      </w:pPr>
      <w:bookmarkStart w:id="119" w:name="_Toc_019"/>
      <w:r>
        <w:rPr>
          <w:rFonts w:ascii="游ゴシック" w:hAnsi="游ゴシック" w:eastAsia="游ゴシック"/>
          <w:b/>
          <w:i w:val="0"/>
          <w:color w:val="2E74B5"/>
          <w:sz w:val="30"/>
        </w:rPr>
        <w:t>9　指摘一覧</w:t>
      </w:r>
      <w:bookmarkEnd w:id="119"/>
    </w:p>
    <w:p>
      <w:pPr>
        <w:spacing w:before="60" w:after="60"/>
      </w:pPr>
      <w:r>
        <w:rPr>
          <w:rFonts w:ascii="游ゴシック" w:hAnsi="游ゴシック" w:eastAsia="游ゴシック"/>
          <w:b w:val="0"/>
          <w:i w:val="0"/>
          <w:sz w:val="21"/>
        </w:rPr>
        <w:t>指摘は14件です（重大5・重要5・軽微4）。重大4件のうちD1は県への照会、D2・D3は町への資料依頼で解けます。D4は当方で調べられます。</w:t>
      </w:r>
    </w:p>
    <w:p>
      <w:pPr>
        <w:keepNext/>
        <w:spacing w:before="200" w:after="40"/>
      </w:pPr>
      <w:r>
        <w:rPr>
          <w:rFonts w:ascii="游ゴシック" w:hAnsi="游ゴシック" w:eastAsia="游ゴシック"/>
          <w:b/>
          <w:i w:val="0"/>
          <w:color w:val="1F4D78"/>
          <w:sz w:val="22"/>
        </w:rPr>
        <w:t>【表10】指摘一覧</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567"/>
        <w:gridCol w:w="680"/>
        <w:gridCol w:w="2211"/>
        <w:gridCol w:w="4139"/>
        <w:gridCol w:w="1361"/>
        <w:gridCol w:w="794"/>
      </w:tblGrid>
      <w:tr>
        <w:tc>
          <w:tcPr>
            <w:tcW w:type="dxa" w:w="567"/>
            <w:shd w:val="clear" w:fill="1F3864"/>
            <w:vAlign w:val="center"/>
          </w:tcPr>
          <w:p>
            <w:pPr>
              <w:spacing w:before="20" w:after="20"/>
              <w:jc w:val="center"/>
            </w:pPr>
            <w:r>
              <w:rPr>
                <w:rFonts w:ascii="游ゴシック" w:hAnsi="游ゴシック" w:eastAsia="游ゴシック"/>
                <w:b/>
                <w:i w:val="0"/>
                <w:color w:val="FFFFFF"/>
                <w:sz w:val="17"/>
              </w:rPr>
              <w:t>番号</w:t>
            </w:r>
          </w:p>
        </w:tc>
        <w:tc>
          <w:tcPr>
            <w:tcW w:type="dxa" w:w="680"/>
            <w:shd w:val="clear" w:fill="1F3864"/>
            <w:vAlign w:val="center"/>
          </w:tcPr>
          <w:p>
            <w:pPr>
              <w:spacing w:before="20" w:after="20"/>
              <w:jc w:val="center"/>
            </w:pPr>
            <w:r>
              <w:rPr>
                <w:rFonts w:ascii="游ゴシック" w:hAnsi="游ゴシック" w:eastAsia="游ゴシック"/>
                <w:b/>
                <w:i w:val="0"/>
                <w:color w:val="FFFFFF"/>
                <w:sz w:val="17"/>
              </w:rPr>
              <w:t>重さ</w:t>
            </w:r>
          </w:p>
        </w:tc>
        <w:tc>
          <w:tcPr>
            <w:tcW w:type="dxa" w:w="2211"/>
            <w:shd w:val="clear" w:fill="1F3864"/>
            <w:vAlign w:val="center"/>
          </w:tcPr>
          <w:p>
            <w:pPr>
              <w:spacing w:before="20" w:after="20"/>
              <w:jc w:val="center"/>
            </w:pPr>
            <w:r>
              <w:rPr>
                <w:rFonts w:ascii="游ゴシック" w:hAnsi="游ゴシック" w:eastAsia="游ゴシック"/>
                <w:b/>
                <w:i w:val="0"/>
                <w:color w:val="FFFFFF"/>
                <w:sz w:val="17"/>
              </w:rPr>
              <w:t>件名</w:t>
            </w:r>
          </w:p>
        </w:tc>
        <w:tc>
          <w:tcPr>
            <w:tcW w:type="dxa" w:w="4139"/>
            <w:shd w:val="clear" w:fill="1F3864"/>
            <w:vAlign w:val="center"/>
          </w:tcPr>
          <w:p>
            <w:pPr>
              <w:spacing w:before="20" w:after="20"/>
              <w:jc w:val="center"/>
            </w:pPr>
            <w:r>
              <w:rPr>
                <w:rFonts w:ascii="游ゴシック" w:hAnsi="游ゴシック" w:eastAsia="游ゴシック"/>
                <w:b/>
                <w:i w:val="0"/>
                <w:color w:val="FFFFFF"/>
                <w:sz w:val="17"/>
              </w:rPr>
              <w:t>直し方</w:t>
            </w:r>
          </w:p>
        </w:tc>
        <w:tc>
          <w:tcPr>
            <w:tcW w:type="dxa" w:w="1361"/>
            <w:shd w:val="clear" w:fill="1F3864"/>
            <w:vAlign w:val="center"/>
          </w:tcPr>
          <w:p>
            <w:pPr>
              <w:spacing w:before="20" w:after="20"/>
              <w:jc w:val="center"/>
            </w:pPr>
            <w:r>
              <w:rPr>
                <w:rFonts w:ascii="游ゴシック" w:hAnsi="游ゴシック" w:eastAsia="游ゴシック"/>
                <w:b/>
                <w:i w:val="0"/>
                <w:color w:val="FFFFFF"/>
                <w:sz w:val="17"/>
              </w:rPr>
              <w:t>いつまでに</w:t>
            </w:r>
          </w:p>
        </w:tc>
        <w:tc>
          <w:tcPr>
            <w:tcW w:type="dxa" w:w="794"/>
            <w:shd w:val="clear" w:fill="1F3864"/>
            <w:vAlign w:val="center"/>
          </w:tcPr>
          <w:p>
            <w:pPr>
              <w:spacing w:before="20" w:after="20"/>
              <w:jc w:val="center"/>
            </w:pPr>
            <w:r>
              <w:rPr>
                <w:rFonts w:ascii="游ゴシック" w:hAnsi="游ゴシック" w:eastAsia="游ゴシック"/>
                <w:b/>
                <w:i w:val="0"/>
                <w:color w:val="FFFFFF"/>
                <w:sz w:val="17"/>
              </w:rPr>
              <w:t>状況</w:t>
            </w:r>
          </w:p>
        </w:tc>
      </w:tr>
      <w:tr>
        <w:tc>
          <w:tcPr>
            <w:tcW w:type="dxa" w:w="567"/>
            <w:vAlign w:val="center"/>
          </w:tcPr>
          <w:p>
            <w:pPr>
              <w:spacing w:before="20" w:after="20"/>
            </w:pPr>
            <w:r>
              <w:rPr>
                <w:rFonts w:ascii="游ゴシック" w:hAnsi="游ゴシック" w:eastAsia="游ゴシック"/>
                <w:b w:val="0"/>
                <w:i w:val="0"/>
                <w:sz w:val="17"/>
              </w:rPr>
              <w:t>D1</w:t>
            </w:r>
          </w:p>
        </w:tc>
        <w:tc>
          <w:tcPr>
            <w:tcW w:type="dxa" w:w="680"/>
            <w:vAlign w:val="center"/>
          </w:tcPr>
          <w:p>
            <w:pPr>
              <w:spacing w:before="20" w:after="20"/>
            </w:pPr>
            <w:r>
              <w:rPr>
                <w:rFonts w:ascii="游ゴシック" w:hAnsi="游ゴシック" w:eastAsia="游ゴシック"/>
                <w:b w:val="0"/>
                <w:i w:val="0"/>
                <w:sz w:val="17"/>
              </w:rPr>
              <w:t>重大</w:t>
            </w:r>
          </w:p>
        </w:tc>
        <w:tc>
          <w:tcPr>
            <w:tcW w:type="dxa" w:w="2211"/>
            <w:vAlign w:val="center"/>
          </w:tcPr>
          <w:p>
            <w:pPr>
              <w:spacing w:before="20" w:after="20"/>
            </w:pPr>
            <w:r>
              <w:rPr>
                <w:rFonts w:ascii="游ゴシック" w:hAnsi="游ゴシック" w:eastAsia="游ゴシック"/>
                <w:b w:val="0"/>
                <w:i w:val="0"/>
                <w:sz w:val="17"/>
              </w:rPr>
              <w:t>基本指針の改正の発出状況を確かめる</w:t>
            </w:r>
          </w:p>
        </w:tc>
        <w:tc>
          <w:tcPr>
            <w:tcW w:type="dxa" w:w="4139"/>
            <w:vAlign w:val="center"/>
          </w:tcPr>
          <w:p>
            <w:pPr>
              <w:spacing w:before="20" w:after="20"/>
            </w:pPr>
            <w:r>
              <w:rPr>
                <w:rFonts w:ascii="游ゴシック" w:hAnsi="游ゴシック" w:eastAsia="游ゴシック"/>
                <w:b w:val="0"/>
                <w:i w:val="0"/>
                <w:sz w:val="17"/>
              </w:rPr>
              <w:t>パブリックコメントは令和8年9月24日に締め切られており、施行は令和9年4月1日が予定されている。県に発出状況を照会し、告示後は成果目標・活動指標・用語を更新する。設定シートが「9月7日時点未告示」として残した宿題である</w:t>
            </w:r>
          </w:p>
        </w:tc>
        <w:tc>
          <w:tcPr>
            <w:tcW w:type="dxa" w:w="1361"/>
            <w:vAlign w:val="center"/>
          </w:tcPr>
          <w:p>
            <w:pPr>
              <w:spacing w:before="20" w:after="20"/>
            </w:pPr>
            <w:r>
              <w:rPr>
                <w:rFonts w:ascii="游ゴシック" w:hAnsi="游ゴシック" w:eastAsia="游ゴシック"/>
                <w:b w:val="0"/>
                <w:i w:val="0"/>
                <w:sz w:val="17"/>
              </w:rPr>
              <w:t>計画素案の確定前（県への照会は直ちに）</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D2</w:t>
            </w:r>
          </w:p>
        </w:tc>
        <w:tc>
          <w:tcPr>
            <w:tcW w:type="dxa" w:w="680"/>
            <w:vAlign w:val="center"/>
          </w:tcPr>
          <w:p>
            <w:pPr>
              <w:spacing w:before="20" w:after="20"/>
            </w:pPr>
            <w:r>
              <w:rPr>
                <w:rFonts w:ascii="游ゴシック" w:hAnsi="游ゴシック" w:eastAsia="游ゴシック"/>
                <w:b w:val="0"/>
                <w:i w:val="0"/>
                <w:sz w:val="17"/>
              </w:rPr>
              <w:t>重大</w:t>
            </w:r>
          </w:p>
        </w:tc>
        <w:tc>
          <w:tcPr>
            <w:tcW w:type="dxa" w:w="2211"/>
            <w:vAlign w:val="center"/>
          </w:tcPr>
          <w:p>
            <w:pPr>
              <w:spacing w:before="20" w:after="20"/>
            </w:pPr>
            <w:r>
              <w:rPr>
                <w:rFonts w:ascii="游ゴシック" w:hAnsi="游ゴシック" w:eastAsia="游ゴシック"/>
                <w:b w:val="0"/>
                <w:i w:val="0"/>
                <w:sz w:val="17"/>
              </w:rPr>
              <w:t>継続入所者の控除を算定に入れる</w:t>
            </w:r>
          </w:p>
        </w:tc>
        <w:tc>
          <w:tcPr>
            <w:tcW w:type="dxa" w:w="4139"/>
            <w:vAlign w:val="center"/>
          </w:tcPr>
          <w:p>
            <w:pPr>
              <w:spacing w:before="20" w:after="20"/>
            </w:pPr>
            <w:r>
              <w:rPr>
                <w:rFonts w:ascii="游ゴシック" w:hAnsi="游ゴシック" w:eastAsia="游ゴシック"/>
                <w:b w:val="0"/>
                <w:i w:val="0"/>
                <w:sz w:val="17"/>
              </w:rPr>
              <w:t>生活介護・就労継続支援B型・施設入所支援の見込量から控除する（告示 第三の二の2(一)。「ものとする」）。該当者の有無を町に確認し、0であればその旨を計画本文に書く</w:t>
            </w:r>
          </w:p>
        </w:tc>
        <w:tc>
          <w:tcPr>
            <w:tcW w:type="dxa" w:w="1361"/>
            <w:vAlign w:val="center"/>
          </w:tcPr>
          <w:p>
            <w:pPr>
              <w:spacing w:before="20" w:after="20"/>
            </w:pPr>
            <w:r>
              <w:rPr>
                <w:rFonts w:ascii="游ゴシック" w:hAnsi="游ゴシック" w:eastAsia="游ゴシック"/>
                <w:b w:val="0"/>
                <w:i w:val="0"/>
                <w:sz w:val="17"/>
              </w:rPr>
              <w:t>町への資料依頼と同じ便</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D3</w:t>
            </w:r>
          </w:p>
        </w:tc>
        <w:tc>
          <w:tcPr>
            <w:tcW w:type="dxa" w:w="680"/>
            <w:vAlign w:val="center"/>
          </w:tcPr>
          <w:p>
            <w:pPr>
              <w:spacing w:before="20" w:after="20"/>
            </w:pPr>
            <w:r>
              <w:rPr>
                <w:rFonts w:ascii="游ゴシック" w:hAnsi="游ゴシック" w:eastAsia="游ゴシック"/>
                <w:b w:val="0"/>
                <w:i w:val="0"/>
                <w:sz w:val="17"/>
              </w:rPr>
              <w:t>重大</w:t>
            </w:r>
          </w:p>
        </w:tc>
        <w:tc>
          <w:tcPr>
            <w:tcW w:type="dxa" w:w="2211"/>
            <w:vAlign w:val="center"/>
          </w:tcPr>
          <w:p>
            <w:pPr>
              <w:spacing w:before="20" w:after="20"/>
            </w:pPr>
            <w:r>
              <w:rPr>
                <w:rFonts w:ascii="游ゴシック" w:hAnsi="游ゴシック" w:eastAsia="游ゴシック"/>
                <w:b w:val="0"/>
                <w:i w:val="0"/>
                <w:sz w:val="17"/>
              </w:rPr>
              <w:t>保育所等における障害児の受入れの体制を勘案要素に加える</w:t>
            </w:r>
          </w:p>
        </w:tc>
        <w:tc>
          <w:tcPr>
            <w:tcW w:type="dxa" w:w="4139"/>
            <w:vAlign w:val="center"/>
          </w:tcPr>
          <w:p>
            <w:pPr>
              <w:spacing w:before="20" w:after="20"/>
            </w:pPr>
            <w:r>
              <w:rPr>
                <w:rFonts w:ascii="游ゴシック" w:hAnsi="游ゴシック" w:eastAsia="游ゴシック"/>
                <w:b w:val="0"/>
                <w:i w:val="0"/>
                <w:sz w:val="17"/>
              </w:rPr>
              <w:t>指定通所支援等の見込量は受入体制を踏まえて設定する（告示 第三の二の2(一)。「ものとする」）。保育所・認定こども園・放課後児童クラブの受入人数と加配の状況を骨子案 表9の資料依頼に加える</w:t>
            </w:r>
          </w:p>
        </w:tc>
        <w:tc>
          <w:tcPr>
            <w:tcW w:type="dxa" w:w="1361"/>
            <w:vAlign w:val="center"/>
          </w:tcPr>
          <w:p>
            <w:pPr>
              <w:spacing w:before="20" w:after="20"/>
            </w:pPr>
            <w:r>
              <w:rPr>
                <w:rFonts w:ascii="游ゴシック" w:hAnsi="游ゴシック" w:eastAsia="游ゴシック"/>
                <w:b w:val="0"/>
                <w:i w:val="0"/>
                <w:sz w:val="17"/>
              </w:rPr>
              <w:t>町への資料依頼と同じ便</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D4</w:t>
            </w:r>
          </w:p>
        </w:tc>
        <w:tc>
          <w:tcPr>
            <w:tcW w:type="dxa" w:w="680"/>
            <w:vAlign w:val="center"/>
          </w:tcPr>
          <w:p>
            <w:pPr>
              <w:spacing w:before="20" w:after="20"/>
            </w:pPr>
            <w:r>
              <w:rPr>
                <w:rFonts w:ascii="游ゴシック" w:hAnsi="游ゴシック" w:eastAsia="游ゴシック"/>
                <w:b w:val="0"/>
                <w:i w:val="0"/>
                <w:sz w:val="17"/>
              </w:rPr>
              <w:t>重大</w:t>
            </w:r>
          </w:p>
        </w:tc>
        <w:tc>
          <w:tcPr>
            <w:tcW w:type="dxa" w:w="2211"/>
            <w:vAlign w:val="center"/>
          </w:tcPr>
          <w:p>
            <w:pPr>
              <w:spacing w:before="20" w:after="20"/>
            </w:pPr>
            <w:r>
              <w:rPr>
                <w:rFonts w:ascii="游ゴシック" w:hAnsi="游ゴシック" w:eastAsia="游ゴシック"/>
                <w:b w:val="0"/>
                <w:i w:val="0"/>
                <w:sz w:val="17"/>
              </w:rPr>
              <w:t>別表第五の適用判定を行い、結果を記録する</w:t>
            </w:r>
          </w:p>
        </w:tc>
        <w:tc>
          <w:tcPr>
            <w:tcW w:type="dxa" w:w="4139"/>
            <w:vAlign w:val="center"/>
          </w:tcPr>
          <w:p>
            <w:pPr>
              <w:spacing w:before="20" w:after="20"/>
            </w:pPr>
            <w:r>
              <w:rPr>
                <w:rFonts w:ascii="游ゴシック" w:hAnsi="游ゴシック" w:eastAsia="游ゴシック"/>
                <w:b w:val="0"/>
                <w:i w:val="0"/>
                <w:sz w:val="17"/>
              </w:rPr>
              <w:t>まず小野町が全部過疎市町村かを総務省又は県の資料で確かめる。全部過疎であれば適用対象外として記録し、一部過疎であれば対象6サービスについて要件2・3を判定する</w:t>
            </w:r>
          </w:p>
        </w:tc>
        <w:tc>
          <w:tcPr>
            <w:tcW w:type="dxa" w:w="1361"/>
            <w:vAlign w:val="center"/>
          </w:tcPr>
          <w:p>
            <w:pPr>
              <w:spacing w:before="20" w:after="20"/>
            </w:pPr>
            <w:r>
              <w:rPr>
                <w:rFonts w:ascii="游ゴシック" w:hAnsi="游ゴシック" w:eastAsia="游ゴシック"/>
                <w:b w:val="0"/>
                <w:i w:val="0"/>
                <w:sz w:val="17"/>
              </w:rPr>
              <w:t>見込量の確定前</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D5</w:t>
            </w:r>
          </w:p>
        </w:tc>
        <w:tc>
          <w:tcPr>
            <w:tcW w:type="dxa" w:w="680"/>
            <w:vAlign w:val="center"/>
          </w:tcPr>
          <w:p>
            <w:pPr>
              <w:spacing w:before="20" w:after="20"/>
            </w:pPr>
            <w:r>
              <w:rPr>
                <w:rFonts w:ascii="游ゴシック" w:hAnsi="游ゴシック" w:eastAsia="游ゴシック"/>
                <w:b w:val="0"/>
                <w:i w:val="0"/>
                <w:sz w:val="17"/>
              </w:rPr>
              <w:t>重要</w:t>
            </w:r>
          </w:p>
        </w:tc>
        <w:tc>
          <w:tcPr>
            <w:tcW w:type="dxa" w:w="2211"/>
            <w:vAlign w:val="center"/>
          </w:tcPr>
          <w:p>
            <w:pPr>
              <w:spacing w:before="20" w:after="20"/>
            </w:pPr>
            <w:r>
              <w:rPr>
                <w:rFonts w:ascii="游ゴシック" w:hAnsi="游ゴシック" w:eastAsia="游ゴシック"/>
                <w:b w:val="0"/>
                <w:i w:val="0"/>
                <w:sz w:val="17"/>
              </w:rPr>
              <w:t>R8実績が年度途中値かを確かめ、基準年度を決める</w:t>
            </w:r>
          </w:p>
        </w:tc>
        <w:tc>
          <w:tcPr>
            <w:tcW w:type="dxa" w:w="4139"/>
            <w:vAlign w:val="center"/>
          </w:tcPr>
          <w:p>
            <w:pPr>
              <w:spacing w:before="20" w:after="20"/>
            </w:pPr>
            <w:r>
              <w:rPr>
                <w:rFonts w:ascii="游ゴシック" w:hAnsi="游ゴシック" w:eastAsia="游ゴシック"/>
                <w:b w:val="0"/>
                <w:i w:val="0"/>
                <w:sz w:val="17"/>
              </w:rPr>
              <w:t>年度途中値であれば基準年度を令和7年度に寄せる。R8を使い続けるならどの月までの累計かを明示する</w:t>
            </w:r>
          </w:p>
        </w:tc>
        <w:tc>
          <w:tcPr>
            <w:tcW w:type="dxa" w:w="1361"/>
            <w:vAlign w:val="center"/>
          </w:tcPr>
          <w:p>
            <w:pPr>
              <w:spacing w:before="20" w:after="20"/>
            </w:pPr>
            <w:r>
              <w:rPr>
                <w:rFonts w:ascii="游ゴシック" w:hAnsi="游ゴシック" w:eastAsia="游ゴシック"/>
                <w:b w:val="0"/>
                <w:i w:val="0"/>
                <w:sz w:val="17"/>
              </w:rPr>
              <w:t>見込量の確定前</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D6</w:t>
            </w:r>
          </w:p>
        </w:tc>
        <w:tc>
          <w:tcPr>
            <w:tcW w:type="dxa" w:w="680"/>
            <w:vAlign w:val="center"/>
          </w:tcPr>
          <w:p>
            <w:pPr>
              <w:spacing w:before="20" w:after="20"/>
            </w:pPr>
            <w:r>
              <w:rPr>
                <w:rFonts w:ascii="游ゴシック" w:hAnsi="游ゴシック" w:eastAsia="游ゴシック"/>
                <w:b w:val="0"/>
                <w:i w:val="0"/>
                <w:sz w:val="17"/>
              </w:rPr>
              <w:t>重要</w:t>
            </w:r>
          </w:p>
        </w:tc>
        <w:tc>
          <w:tcPr>
            <w:tcW w:type="dxa" w:w="2211"/>
            <w:vAlign w:val="center"/>
          </w:tcPr>
          <w:p>
            <w:pPr>
              <w:spacing w:before="20" w:after="20"/>
            </w:pPr>
            <w:r>
              <w:rPr>
                <w:rFonts w:ascii="游ゴシック" w:hAnsi="游ゴシック" w:eastAsia="游ゴシック"/>
                <w:b w:val="0"/>
                <w:i w:val="0"/>
                <w:sz w:val="17"/>
              </w:rPr>
              <w:t>算定方法と国のマニュアルの対照を計画本文に置く</w:t>
            </w:r>
          </w:p>
        </w:tc>
        <w:tc>
          <w:tcPr>
            <w:tcW w:type="dxa" w:w="4139"/>
            <w:vAlign w:val="center"/>
          </w:tcPr>
          <w:p>
            <w:pPr>
              <w:spacing w:before="20" w:after="20"/>
            </w:pPr>
            <w:r>
              <w:rPr>
                <w:rFonts w:ascii="游ゴシック" w:hAnsi="游ゴシック" w:eastAsia="游ゴシック"/>
                <w:b w:val="0"/>
                <w:i w:val="0"/>
                <w:sz w:val="17"/>
              </w:rPr>
              <w:t>本書2章の対照表をそのまま使える。「直近3年平均」「直近2年平均」は水準の平均であり、マニュアルの変化率の平均とは別であることを書き分ける。線形トレンドを採る理由も1行ずつ書く</w:t>
            </w:r>
          </w:p>
        </w:tc>
        <w:tc>
          <w:tcPr>
            <w:tcW w:type="dxa" w:w="1361"/>
            <w:vAlign w:val="center"/>
          </w:tcPr>
          <w:p>
            <w:pPr>
              <w:spacing w:before="20" w:after="20"/>
            </w:pPr>
            <w:r>
              <w:rPr>
                <w:rFonts w:ascii="游ゴシック" w:hAnsi="游ゴシック" w:eastAsia="游ゴシック"/>
                <w:b w:val="0"/>
                <w:i w:val="0"/>
                <w:sz w:val="17"/>
              </w:rPr>
              <w:t>計画素案の第3部に反映</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D7</w:t>
            </w:r>
          </w:p>
        </w:tc>
        <w:tc>
          <w:tcPr>
            <w:tcW w:type="dxa" w:w="680"/>
            <w:vAlign w:val="center"/>
          </w:tcPr>
          <w:p>
            <w:pPr>
              <w:spacing w:before="20" w:after="20"/>
            </w:pPr>
            <w:r>
              <w:rPr>
                <w:rFonts w:ascii="游ゴシック" w:hAnsi="游ゴシック" w:eastAsia="游ゴシック"/>
                <w:b w:val="0"/>
                <w:i w:val="0"/>
                <w:sz w:val="17"/>
              </w:rPr>
              <w:t>重要</w:t>
            </w:r>
          </w:p>
        </w:tc>
        <w:tc>
          <w:tcPr>
            <w:tcW w:type="dxa" w:w="2211"/>
            <w:vAlign w:val="center"/>
          </w:tcPr>
          <w:p>
            <w:pPr>
              <w:spacing w:before="20" w:after="20"/>
            </w:pPr>
            <w:r>
              <w:rPr>
                <w:rFonts w:ascii="游ゴシック" w:hAnsi="游ゴシック" w:eastAsia="游ゴシック"/>
                <w:b w:val="0"/>
                <w:i w:val="0"/>
                <w:sz w:val="17"/>
              </w:rPr>
              <w:t>医療的ケア児「等」に表記を統一する</w:t>
            </w:r>
          </w:p>
        </w:tc>
        <w:tc>
          <w:tcPr>
            <w:tcW w:type="dxa" w:w="4139"/>
            <w:vAlign w:val="center"/>
          </w:tcPr>
          <w:p>
            <w:pPr>
              <w:spacing w:before="20" w:after="20"/>
            </w:pPr>
            <w:r>
              <w:rPr>
                <w:rFonts w:ascii="游ゴシック" w:hAnsi="游ゴシック" w:eastAsia="游ゴシック"/>
                <w:b w:val="0"/>
                <w:i w:val="0"/>
                <w:sz w:val="17"/>
              </w:rPr>
              <w:t>骨子案と協議会資料が旧表記であった。build_ono_shogai_kpi.py 第2版に合わせてbuild_ono_kosshi.py（4か所）と build_ono_committee_doc_rev3.py（1か所）を改め、両成果品を作り直した。あわせて成果目標は協議の場とコーディネーター配置の両方が揃って達成となることを明示する</w:t>
            </w:r>
          </w:p>
        </w:tc>
        <w:tc>
          <w:tcPr>
            <w:tcW w:type="dxa" w:w="1361"/>
            <w:vAlign w:val="center"/>
          </w:tcPr>
          <w:p>
            <w:pPr>
              <w:spacing w:before="20" w:after="20"/>
            </w:pPr>
            <w:r>
              <w:rPr>
                <w:rFonts w:ascii="游ゴシック" w:hAnsi="游ゴシック" w:eastAsia="游ゴシック"/>
                <w:b w:val="0"/>
                <w:i w:val="0"/>
                <w:sz w:val="17"/>
              </w:rPr>
              <w:t>本書と同時に対応済み</w:t>
            </w:r>
          </w:p>
        </w:tc>
        <w:tc>
          <w:tcPr>
            <w:tcW w:type="dxa" w:w="794"/>
            <w:vAlign w:val="center"/>
          </w:tcPr>
          <w:p>
            <w:pPr>
              <w:spacing w:before="20" w:after="20"/>
            </w:pPr>
            <w:r>
              <w:rPr>
                <w:rFonts w:ascii="游ゴシック" w:hAnsi="游ゴシック" w:eastAsia="游ゴシック"/>
                <w:b w:val="0"/>
                <w:i w:val="0"/>
                <w:sz w:val="17"/>
              </w:rPr>
              <w:t>対応済み</w:t>
            </w:r>
          </w:p>
        </w:tc>
      </w:tr>
      <w:tr>
        <w:tc>
          <w:tcPr>
            <w:tcW w:type="dxa" w:w="567"/>
            <w:vAlign w:val="center"/>
          </w:tcPr>
          <w:p>
            <w:pPr>
              <w:spacing w:before="20" w:after="20"/>
            </w:pPr>
            <w:r>
              <w:rPr>
                <w:rFonts w:ascii="游ゴシック" w:hAnsi="游ゴシック" w:eastAsia="游ゴシック"/>
                <w:b w:val="0"/>
                <w:i w:val="0"/>
                <w:sz w:val="17"/>
              </w:rPr>
              <w:t>D8</w:t>
            </w:r>
          </w:p>
        </w:tc>
        <w:tc>
          <w:tcPr>
            <w:tcW w:type="dxa" w:w="680"/>
            <w:vAlign w:val="center"/>
          </w:tcPr>
          <w:p>
            <w:pPr>
              <w:spacing w:before="20" w:after="20"/>
            </w:pPr>
            <w:r>
              <w:rPr>
                <w:rFonts w:ascii="游ゴシック" w:hAnsi="游ゴシック" w:eastAsia="游ゴシック"/>
                <w:b w:val="0"/>
                <w:i w:val="0"/>
                <w:sz w:val="17"/>
              </w:rPr>
              <w:t>重大</w:t>
            </w:r>
          </w:p>
        </w:tc>
        <w:tc>
          <w:tcPr>
            <w:tcW w:type="dxa" w:w="2211"/>
            <w:vAlign w:val="center"/>
          </w:tcPr>
          <w:p>
            <w:pPr>
              <w:spacing w:before="20" w:after="20"/>
            </w:pPr>
            <w:r>
              <w:rPr>
                <w:rFonts w:ascii="游ゴシック" w:hAnsi="游ゴシック" w:eastAsia="游ゴシック"/>
                <w:b w:val="0"/>
                <w:i w:val="0"/>
                <w:sz w:val="17"/>
              </w:rPr>
              <w:t>実績0のまま0見込としたサービスに、利用意向が示されている</w:t>
            </w:r>
          </w:p>
        </w:tc>
        <w:tc>
          <w:tcPr>
            <w:tcW w:type="dxa" w:w="4139"/>
            <w:vAlign w:val="center"/>
          </w:tcPr>
          <w:p>
            <w:pPr>
              <w:spacing w:before="20" w:after="20"/>
            </w:pPr>
            <w:r>
              <w:rPr>
                <w:rFonts w:ascii="游ゴシック" w:hAnsi="游ゴシック" w:eastAsia="游ゴシック"/>
                <w:b w:val="0"/>
                <w:i w:val="0"/>
                <w:sz w:val="17"/>
              </w:rPr>
              <w:t>問31の周辺度数で突き合わせたところ、R8実績0で利用したいという回答があるサービスがある（8章の表）。0とするなら理由（町内に事業所がない・圏域で対応・支給決定の実績がない）を書き、0としないなら最低限の枠を置く。骨子案 表8の方針（実績0でも候補者の有無を確認し0見込の根拠を記録する）をそのまま実行すればよい</w:t>
            </w:r>
          </w:p>
        </w:tc>
        <w:tc>
          <w:tcPr>
            <w:tcW w:type="dxa" w:w="1361"/>
            <w:vAlign w:val="center"/>
          </w:tcPr>
          <w:p>
            <w:pPr>
              <w:spacing w:before="20" w:after="20"/>
            </w:pPr>
            <w:r>
              <w:rPr>
                <w:rFonts w:ascii="游ゴシック" w:hAnsi="游ゴシック" w:eastAsia="游ゴシック"/>
                <w:b w:val="0"/>
                <w:i w:val="0"/>
                <w:sz w:val="17"/>
              </w:rPr>
              <w:t>見込量の確定前</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D9</w:t>
            </w:r>
          </w:p>
        </w:tc>
        <w:tc>
          <w:tcPr>
            <w:tcW w:type="dxa" w:w="680"/>
            <w:vAlign w:val="center"/>
          </w:tcPr>
          <w:p>
            <w:pPr>
              <w:spacing w:before="20" w:after="20"/>
            </w:pPr>
            <w:r>
              <w:rPr>
                <w:rFonts w:ascii="游ゴシック" w:hAnsi="游ゴシック" w:eastAsia="游ゴシック"/>
                <w:b w:val="0"/>
                <w:i w:val="0"/>
                <w:sz w:val="17"/>
              </w:rPr>
              <w:t>重要</w:t>
            </w:r>
          </w:p>
        </w:tc>
        <w:tc>
          <w:tcPr>
            <w:tcW w:type="dxa" w:w="2211"/>
            <w:vAlign w:val="center"/>
          </w:tcPr>
          <w:p>
            <w:pPr>
              <w:spacing w:before="20" w:after="20"/>
            </w:pPr>
            <w:r>
              <w:rPr>
                <w:rFonts w:ascii="游ゴシック" w:hAnsi="游ゴシック" w:eastAsia="游ゴシック"/>
                <w:b w:val="0"/>
                <w:i w:val="0"/>
                <w:sz w:val="17"/>
              </w:rPr>
              <w:t>施設入所者数の令和7年度末確定値を実人数で確かめる</w:t>
            </w:r>
          </w:p>
        </w:tc>
        <w:tc>
          <w:tcPr>
            <w:tcW w:type="dxa" w:w="4139"/>
            <w:vAlign w:val="center"/>
          </w:tcPr>
          <w:p>
            <w:pPr>
              <w:spacing w:before="20" w:after="20"/>
            </w:pPr>
            <w:r>
              <w:rPr>
                <w:rFonts w:ascii="游ゴシック" w:hAnsi="游ゴシック" w:eastAsia="游ゴシック"/>
                <w:b w:val="0"/>
                <w:i w:val="0"/>
                <w:sz w:val="17"/>
              </w:rPr>
              <w:t>設定シートのR7実績19は月平均利用者数であり、国基準の「令和7年度末時点の施設入所者数」とは別の数である。骨子案 表9の資料依頼に挙がっている事項</w:t>
            </w:r>
          </w:p>
        </w:tc>
        <w:tc>
          <w:tcPr>
            <w:tcW w:type="dxa" w:w="1361"/>
            <w:vAlign w:val="center"/>
          </w:tcPr>
          <w:p>
            <w:pPr>
              <w:spacing w:before="20" w:after="20"/>
            </w:pPr>
            <w:r>
              <w:rPr>
                <w:rFonts w:ascii="游ゴシック" w:hAnsi="游ゴシック" w:eastAsia="游ゴシック"/>
                <w:b w:val="0"/>
                <w:i w:val="0"/>
                <w:sz w:val="17"/>
              </w:rPr>
              <w:t>成果目標の確定前</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D10</w:t>
            </w:r>
          </w:p>
        </w:tc>
        <w:tc>
          <w:tcPr>
            <w:tcW w:type="dxa" w:w="680"/>
            <w:vAlign w:val="center"/>
          </w:tcPr>
          <w:p>
            <w:pPr>
              <w:spacing w:before="20" w:after="20"/>
            </w:pPr>
            <w:r>
              <w:rPr>
                <w:rFonts w:ascii="游ゴシック" w:hAnsi="游ゴシック" w:eastAsia="游ゴシック"/>
                <w:b w:val="0"/>
                <w:i w:val="0"/>
                <w:sz w:val="17"/>
              </w:rPr>
              <w:t>重要</w:t>
            </w:r>
          </w:p>
        </w:tc>
        <w:tc>
          <w:tcPr>
            <w:tcW w:type="dxa" w:w="2211"/>
            <w:vAlign w:val="center"/>
          </w:tcPr>
          <w:p>
            <w:pPr>
              <w:spacing w:before="20" w:after="20"/>
            </w:pPr>
            <w:r>
              <w:rPr>
                <w:rFonts w:ascii="游ゴシック" w:hAnsi="游ゴシック" w:eastAsia="游ゴシック"/>
                <w:b w:val="0"/>
                <w:i w:val="0"/>
                <w:sz w:val="17"/>
              </w:rPr>
              <w:t>放課後等デイサービスの急減の内訳を確かめる</w:t>
            </w:r>
          </w:p>
        </w:tc>
        <w:tc>
          <w:tcPr>
            <w:tcW w:type="dxa" w:w="4139"/>
            <w:vAlign w:val="center"/>
          </w:tcPr>
          <w:p>
            <w:pPr>
              <w:spacing w:before="20" w:after="20"/>
            </w:pPr>
            <w:r>
              <w:rPr>
                <w:rFonts w:ascii="游ゴシック" w:hAnsi="游ゴシック" w:eastAsia="游ゴシック"/>
                <w:b w:val="0"/>
                <w:i w:val="0"/>
                <w:sz w:val="17"/>
              </w:rPr>
              <w:t>R5の31からR8の19へ約4割減であり、人口比率型では説明できない。卒業・転出・利用中止の別を町に確認し、卒業によるものであれば18歳到達者数から個別に積み上げる</w:t>
            </w:r>
          </w:p>
        </w:tc>
        <w:tc>
          <w:tcPr>
            <w:tcW w:type="dxa" w:w="1361"/>
            <w:vAlign w:val="center"/>
          </w:tcPr>
          <w:p>
            <w:pPr>
              <w:spacing w:before="20" w:after="20"/>
            </w:pPr>
            <w:r>
              <w:rPr>
                <w:rFonts w:ascii="游ゴシック" w:hAnsi="游ゴシック" w:eastAsia="游ゴシック"/>
                <w:b w:val="0"/>
                <w:i w:val="0"/>
                <w:sz w:val="17"/>
              </w:rPr>
              <w:t>見込量の確定前</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D11</w:t>
            </w:r>
          </w:p>
        </w:tc>
        <w:tc>
          <w:tcPr>
            <w:tcW w:type="dxa" w:w="680"/>
            <w:vAlign w:val="center"/>
          </w:tcPr>
          <w:p>
            <w:pPr>
              <w:spacing w:before="20" w:after="20"/>
            </w:pPr>
            <w:r>
              <w:rPr>
                <w:rFonts w:ascii="游ゴシック" w:hAnsi="游ゴシック" w:eastAsia="游ゴシック"/>
                <w:b w:val="0"/>
                <w:i w:val="0"/>
                <w:sz w:val="17"/>
              </w:rPr>
              <w:t>軽微</w:t>
            </w:r>
          </w:p>
        </w:tc>
        <w:tc>
          <w:tcPr>
            <w:tcW w:type="dxa" w:w="2211"/>
            <w:vAlign w:val="center"/>
          </w:tcPr>
          <w:p>
            <w:pPr>
              <w:spacing w:before="20" w:after="20"/>
            </w:pPr>
            <w:r>
              <w:rPr>
                <w:rFonts w:ascii="游ゴシック" w:hAnsi="游ゴシック" w:eastAsia="游ゴシック"/>
                <w:b w:val="0"/>
                <w:i w:val="0"/>
                <w:sz w:val="17"/>
              </w:rPr>
              <w:t>別表第二 六の項を計画の節として置く</w:t>
            </w:r>
          </w:p>
        </w:tc>
        <w:tc>
          <w:tcPr>
            <w:tcW w:type="dxa" w:w="4139"/>
            <w:vAlign w:val="center"/>
          </w:tcPr>
          <w:p>
            <w:pPr>
              <w:spacing w:before="20" w:after="20"/>
            </w:pPr>
            <w:r>
              <w:rPr>
                <w:rFonts w:ascii="游ゴシック" w:hAnsi="游ゴシック" w:eastAsia="游ゴシック"/>
                <w:b w:val="0"/>
                <w:i w:val="0"/>
                <w:sz w:val="17"/>
              </w:rPr>
              <w:t>改正①で新設され、市町村計画の「定めるよう努めなければならない事項」である。骨子案 表7が成果目標⑦として置いている整理は正しく、そのうえで第3部に節を設ける。根拠は県の研修実績・圏域の事業所の状況・町の委託先の状況に置く</w:t>
            </w:r>
          </w:p>
        </w:tc>
        <w:tc>
          <w:tcPr>
            <w:tcW w:type="dxa" w:w="1361"/>
            <w:vAlign w:val="center"/>
          </w:tcPr>
          <w:p>
            <w:pPr>
              <w:spacing w:before="20" w:after="20"/>
            </w:pPr>
            <w:r>
              <w:rPr>
                <w:rFonts w:ascii="游ゴシック" w:hAnsi="游ゴシック" w:eastAsia="游ゴシック"/>
                <w:b w:val="0"/>
                <w:i w:val="0"/>
                <w:sz w:val="17"/>
              </w:rPr>
              <w:t>計画素案の第3部に反映</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D12</w:t>
            </w:r>
          </w:p>
        </w:tc>
        <w:tc>
          <w:tcPr>
            <w:tcW w:type="dxa" w:w="680"/>
            <w:vAlign w:val="center"/>
          </w:tcPr>
          <w:p>
            <w:pPr>
              <w:spacing w:before="20" w:after="20"/>
            </w:pPr>
            <w:r>
              <w:rPr>
                <w:rFonts w:ascii="游ゴシック" w:hAnsi="游ゴシック" w:eastAsia="游ゴシック"/>
                <w:b w:val="0"/>
                <w:i w:val="0"/>
                <w:sz w:val="17"/>
              </w:rPr>
              <w:t>軽微</w:t>
            </w:r>
          </w:p>
        </w:tc>
        <w:tc>
          <w:tcPr>
            <w:tcW w:type="dxa" w:w="2211"/>
            <w:vAlign w:val="center"/>
          </w:tcPr>
          <w:p>
            <w:pPr>
              <w:spacing w:before="20" w:after="20"/>
            </w:pPr>
            <w:r>
              <w:rPr>
                <w:rFonts w:ascii="游ゴシック" w:hAnsi="游ゴシック" w:eastAsia="游ゴシック"/>
                <w:b w:val="0"/>
                <w:i w:val="0"/>
                <w:sz w:val="17"/>
              </w:rPr>
              <w:t>設定シートの列の意味をそろえる</w:t>
            </w:r>
          </w:p>
        </w:tc>
        <w:tc>
          <w:tcPr>
            <w:tcW w:type="dxa" w:w="4139"/>
            <w:vAlign w:val="center"/>
          </w:tcPr>
          <w:p>
            <w:pPr>
              <w:spacing w:before="20" w:after="20"/>
            </w:pPr>
            <w:r>
              <w:rPr>
                <w:rFonts w:ascii="游ゴシック" w:hAnsi="游ゴシック" w:eastAsia="游ゴシック"/>
                <w:b w:val="0"/>
                <w:i w:val="0"/>
                <w:sz w:val="17"/>
              </w:rPr>
              <w:t>「単位（量）」の列は量の単位、値の列は利用者数である。値が利用者数であることを列見出しに書き、量は利用者数×1人当たり月利用量で別の列に持つ</w:t>
            </w:r>
          </w:p>
        </w:tc>
        <w:tc>
          <w:tcPr>
            <w:tcW w:type="dxa" w:w="1361"/>
            <w:vAlign w:val="center"/>
          </w:tcPr>
          <w:p>
            <w:pPr>
              <w:spacing w:before="20" w:after="20"/>
            </w:pPr>
            <w:r>
              <w:rPr>
                <w:rFonts w:ascii="游ゴシック" w:hAnsi="游ゴシック" w:eastAsia="游ゴシック"/>
                <w:b w:val="0"/>
                <w:i w:val="0"/>
                <w:sz w:val="17"/>
              </w:rPr>
              <w:t>設定シートの次版</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D13</w:t>
            </w:r>
          </w:p>
        </w:tc>
        <w:tc>
          <w:tcPr>
            <w:tcW w:type="dxa" w:w="680"/>
            <w:vAlign w:val="center"/>
          </w:tcPr>
          <w:p>
            <w:pPr>
              <w:spacing w:before="20" w:after="20"/>
            </w:pPr>
            <w:r>
              <w:rPr>
                <w:rFonts w:ascii="游ゴシック" w:hAnsi="游ゴシック" w:eastAsia="游ゴシック"/>
                <w:b w:val="0"/>
                <w:i w:val="0"/>
                <w:sz w:val="17"/>
              </w:rPr>
              <w:t>軽微</w:t>
            </w:r>
          </w:p>
        </w:tc>
        <w:tc>
          <w:tcPr>
            <w:tcW w:type="dxa" w:w="2211"/>
            <w:vAlign w:val="center"/>
          </w:tcPr>
          <w:p>
            <w:pPr>
              <w:spacing w:before="20" w:after="20"/>
            </w:pPr>
            <w:r>
              <w:rPr>
                <w:rFonts w:ascii="游ゴシック" w:hAnsi="游ゴシック" w:eastAsia="游ゴシック"/>
                <w:b w:val="0"/>
                <w:i w:val="0"/>
                <w:sz w:val="17"/>
              </w:rPr>
              <w:t>実態調査PDCAマニュアルを参考資料に加える</w:t>
            </w:r>
          </w:p>
        </w:tc>
        <w:tc>
          <w:tcPr>
            <w:tcW w:type="dxa" w:w="4139"/>
            <w:vAlign w:val="center"/>
          </w:tcPr>
          <w:p>
            <w:pPr>
              <w:spacing w:before="20" w:after="20"/>
            </w:pPr>
            <w:r>
              <w:rPr>
                <w:rFonts w:ascii="游ゴシック" w:hAnsi="游ゴシック" w:eastAsia="游ゴシック"/>
                <w:b w:val="0"/>
                <w:i w:val="0"/>
                <w:sz w:val="17"/>
              </w:rPr>
              <w:t>設定シートの参考資料は厚生労働省HPと告示の2件で、令和8年8月のマニュアルが載っていない。見込量の推計方法の根拠として引く資料である</w:t>
            </w:r>
          </w:p>
        </w:tc>
        <w:tc>
          <w:tcPr>
            <w:tcW w:type="dxa" w:w="1361"/>
            <w:vAlign w:val="center"/>
          </w:tcPr>
          <w:p>
            <w:pPr>
              <w:spacing w:before="20" w:after="20"/>
            </w:pPr>
            <w:r>
              <w:rPr>
                <w:rFonts w:ascii="游ゴシック" w:hAnsi="游ゴシック" w:eastAsia="游ゴシック"/>
                <w:b w:val="0"/>
                <w:i w:val="0"/>
                <w:sz w:val="17"/>
              </w:rPr>
              <w:t>設定シートの次版</w:t>
            </w:r>
          </w:p>
        </w:tc>
        <w:tc>
          <w:tcPr>
            <w:tcW w:type="dxa" w:w="794"/>
            <w:vAlign w:val="center"/>
          </w:tcPr>
          <w:p>
            <w:pPr>
              <w:spacing w:before="20" w:after="20"/>
            </w:pPr>
            <w:r>
              <w:rPr>
                <w:rFonts w:ascii="游ゴシック" w:hAnsi="游ゴシック" w:eastAsia="游ゴシック"/>
                <w:b w:val="0"/>
                <w:i w:val="0"/>
                <w:sz w:val="17"/>
              </w:rPr>
              <w:t>未対応</w:t>
            </w:r>
          </w:p>
        </w:tc>
      </w:tr>
      <w:tr>
        <w:tc>
          <w:tcPr>
            <w:tcW w:type="dxa" w:w="567"/>
            <w:vAlign w:val="center"/>
          </w:tcPr>
          <w:p>
            <w:pPr>
              <w:spacing w:before="20" w:after="20"/>
            </w:pPr>
            <w:r>
              <w:rPr>
                <w:rFonts w:ascii="游ゴシック" w:hAnsi="游ゴシック" w:eastAsia="游ゴシック"/>
                <w:b w:val="0"/>
                <w:i w:val="0"/>
                <w:sz w:val="17"/>
              </w:rPr>
              <w:t>D14</w:t>
            </w:r>
          </w:p>
        </w:tc>
        <w:tc>
          <w:tcPr>
            <w:tcW w:type="dxa" w:w="680"/>
            <w:vAlign w:val="center"/>
          </w:tcPr>
          <w:p>
            <w:pPr>
              <w:spacing w:before="20" w:after="20"/>
            </w:pPr>
            <w:r>
              <w:rPr>
                <w:rFonts w:ascii="游ゴシック" w:hAnsi="游ゴシック" w:eastAsia="游ゴシック"/>
                <w:b w:val="0"/>
                <w:i w:val="0"/>
                <w:sz w:val="17"/>
              </w:rPr>
              <w:t>軽微</w:t>
            </w:r>
          </w:p>
        </w:tc>
        <w:tc>
          <w:tcPr>
            <w:tcW w:type="dxa" w:w="2211"/>
            <w:vAlign w:val="center"/>
          </w:tcPr>
          <w:p>
            <w:pPr>
              <w:spacing w:before="20" w:after="20"/>
            </w:pPr>
            <w:r>
              <w:rPr>
                <w:rFonts w:ascii="游ゴシック" w:hAnsi="游ゴシック" w:eastAsia="游ゴシック"/>
                <w:b w:val="0"/>
                <w:i w:val="0"/>
                <w:sz w:val="17"/>
              </w:rPr>
              <w:t>未入手の通達2件を県に依頼する</w:t>
            </w:r>
          </w:p>
        </w:tc>
        <w:tc>
          <w:tcPr>
            <w:tcW w:type="dxa" w:w="4139"/>
            <w:vAlign w:val="center"/>
          </w:tcPr>
          <w:p>
            <w:pPr>
              <w:spacing w:before="20" w:after="20"/>
            </w:pPr>
            <w:r>
              <w:rPr>
                <w:rFonts w:ascii="游ゴシック" w:hAnsi="游ゴシック" w:eastAsia="游ゴシック"/>
                <w:b w:val="0"/>
                <w:i w:val="0"/>
                <w:sz w:val="17"/>
              </w:rPr>
              <w:t>障企発0331第2号・こ支障第87号（令和8年3月31日）と第4期障害児福祉計画の策定に係る留意事項について（令和8年4月20日事務連絡）。マニュアルの事務連絡が参照しているが当方で取得できていない</w:t>
            </w:r>
          </w:p>
        </w:tc>
        <w:tc>
          <w:tcPr>
            <w:tcW w:type="dxa" w:w="1361"/>
            <w:vAlign w:val="center"/>
          </w:tcPr>
          <w:p>
            <w:pPr>
              <w:spacing w:before="20" w:after="20"/>
            </w:pPr>
            <w:r>
              <w:rPr>
                <w:rFonts w:ascii="游ゴシック" w:hAnsi="游ゴシック" w:eastAsia="游ゴシック"/>
                <w:b w:val="0"/>
                <w:i w:val="0"/>
                <w:sz w:val="17"/>
              </w:rPr>
              <w:t>県への照会と同じ便</w:t>
            </w:r>
          </w:p>
        </w:tc>
        <w:tc>
          <w:tcPr>
            <w:tcW w:type="dxa" w:w="794"/>
            <w:vAlign w:val="center"/>
          </w:tcPr>
          <w:p>
            <w:pPr>
              <w:spacing w:before="20" w:after="20"/>
            </w:pPr>
            <w:r>
              <w:rPr>
                <w:rFonts w:ascii="游ゴシック" w:hAnsi="游ゴシック" w:eastAsia="游ゴシック"/>
                <w:b w:val="0"/>
                <w:i w:val="0"/>
                <w:sz w:val="17"/>
              </w:rPr>
              <w:t>未対応</w:t>
            </w:r>
          </w:p>
        </w:tc>
      </w:tr>
    </w:tbl>
    <w:p>
      <w:pPr>
        <w:spacing w:after="40"/>
      </w:pPr>
    </w:p>
    <w:p>
      <w:pPr>
        <w:spacing w:before="60" w:after="60"/>
      </w:pPr>
      <w:r>
        <w:rPr>
          <w:rFonts w:ascii="游ゴシック" w:hAnsi="游ゴシック" w:eastAsia="游ゴシック"/>
          <w:b w:val="0"/>
          <w:i w:val="0"/>
          <w:sz w:val="21"/>
        </w:rPr>
        <w:t>「状況」は本書を作った時点の現物を見て決めています。対応済みは1件（D7）で、骨子案と協議会資料の生成器を改め、両成果品を作り直しました。</w:t>
      </w:r>
    </w:p>
    <w:p>
      <w:pPr>
        <w:pStyle w:val="Heading2"/>
        <w:keepNext/>
        <w:spacing w:before="180" w:after="100"/>
      </w:pPr>
      <w:bookmarkStart w:id="120" w:name="_Toc_020"/>
      <w:r>
        <w:rPr>
          <w:rFonts w:ascii="游ゴシック" w:hAnsi="游ゴシック" w:eastAsia="游ゴシック"/>
          <w:b/>
          <w:i w:val="0"/>
          <w:color w:val="2E74B5"/>
          <w:sz w:val="25"/>
        </w:rPr>
        <w:t>町・県への照会にまとめて加えるもの</w:t>
      </w:r>
      <w:bookmarkEnd w:id="120"/>
    </w:p>
    <w:p>
      <w:pPr>
        <w:keepNext/>
        <w:spacing w:before="200" w:after="40"/>
      </w:pPr>
      <w:r>
        <w:rPr>
          <w:rFonts w:ascii="游ゴシック" w:hAnsi="游ゴシック" w:eastAsia="游ゴシック"/>
          <w:b/>
          <w:i w:val="0"/>
          <w:color w:val="1F4D78"/>
          <w:sz w:val="22"/>
        </w:rPr>
        <w:t>【表11】町・県への照会に加えるもの</w:t>
      </w:r>
    </w:p>
    <w:tbl>
      <w:tblPr>
        <w:tblW w:type="auto" w:w="0"/>
        <w:jc w:val="center"/>
        <w:tblLayout w:type="fixed"/>
        <w:tblLook w:firstColumn="1" w:firstRow="1" w:lastColumn="0" w:lastRow="0" w:noHBand="0" w:noVBand="1" w:val="04A0"/>
        <w:tblBorders>
          <w:top w:val="single" w:sz="6" w:space="0" w:color="2E75B6"/>
          <w:left w:val="single" w:sz="4" w:space="0" w:color="BFBFBF"/>
          <w:bottom w:val="single" w:sz="6" w:space="0" w:color="2E75B6"/>
          <w:right w:val="single" w:sz="4" w:space="0" w:color="BFBFBF"/>
          <w:insideH w:val="single" w:sz="4" w:space="0" w:color="BFBFBF"/>
          <w:insideV w:val="single" w:sz="4" w:space="0" w:color="BFBFBF"/>
        </w:tblBorders>
        <w:tblCellMar>
          <w:left w:w="10" w:type="dxa"/>
          <w:right w:w="10" w:type="dxa"/>
        </w:tblCellMar>
      </w:tblPr>
      <w:tblGrid>
        <w:gridCol w:w="737"/>
        <w:gridCol w:w="7030"/>
        <w:gridCol w:w="1984"/>
      </w:tblGrid>
      <w:tr>
        <w:tc>
          <w:tcPr>
            <w:tcW w:type="dxa" w:w="737"/>
            <w:shd w:val="clear" w:fill="1F3864"/>
            <w:vAlign w:val="center"/>
          </w:tcPr>
          <w:p>
            <w:pPr>
              <w:spacing w:before="20" w:after="20"/>
              <w:jc w:val="center"/>
            </w:pPr>
            <w:r>
              <w:rPr>
                <w:rFonts w:ascii="游ゴシック" w:hAnsi="游ゴシック" w:eastAsia="游ゴシック"/>
                <w:b/>
                <w:i w:val="0"/>
                <w:color w:val="FFFFFF"/>
                <w:sz w:val="17"/>
              </w:rPr>
              <w:t>先</w:t>
            </w:r>
          </w:p>
        </w:tc>
        <w:tc>
          <w:tcPr>
            <w:tcW w:type="dxa" w:w="7030"/>
            <w:shd w:val="clear" w:fill="1F3864"/>
            <w:vAlign w:val="center"/>
          </w:tcPr>
          <w:p>
            <w:pPr>
              <w:spacing w:before="20" w:after="20"/>
              <w:jc w:val="center"/>
            </w:pPr>
            <w:r>
              <w:rPr>
                <w:rFonts w:ascii="游ゴシック" w:hAnsi="游ゴシック" w:eastAsia="游ゴシック"/>
                <w:b/>
                <w:i w:val="0"/>
                <w:color w:val="FFFFFF"/>
                <w:sz w:val="17"/>
              </w:rPr>
              <w:t>照会内容</w:t>
            </w:r>
          </w:p>
        </w:tc>
        <w:tc>
          <w:tcPr>
            <w:tcW w:type="dxa" w:w="1984"/>
            <w:shd w:val="clear" w:fill="1F3864"/>
            <w:vAlign w:val="center"/>
          </w:tcPr>
          <w:p>
            <w:pPr>
              <w:spacing w:before="20" w:after="20"/>
              <w:jc w:val="center"/>
            </w:pPr>
            <w:r>
              <w:rPr>
                <w:rFonts w:ascii="游ゴシック" w:hAnsi="游ゴシック" w:eastAsia="游ゴシック"/>
                <w:b/>
                <w:i w:val="0"/>
                <w:color w:val="FFFFFF"/>
                <w:sz w:val="17"/>
              </w:rPr>
              <w:t>関係する指摘</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7030"/>
            <w:vAlign w:val="center"/>
          </w:tcPr>
          <w:p>
            <w:pPr>
              <w:spacing w:before="20" w:after="20"/>
            </w:pPr>
            <w:r>
              <w:rPr>
                <w:rFonts w:ascii="游ゴシック" w:hAnsi="游ゴシック" w:eastAsia="游ゴシック"/>
                <w:b w:val="0"/>
                <w:i w:val="0"/>
                <w:sz w:val="17"/>
              </w:rPr>
              <w:t>基本指針の一部を改正する件の発出状況（パブリックコメントは令和8年9月24日締切）</w:t>
            </w:r>
          </w:p>
        </w:tc>
        <w:tc>
          <w:tcPr>
            <w:tcW w:type="dxa" w:w="1984"/>
            <w:vAlign w:val="center"/>
          </w:tcPr>
          <w:p>
            <w:pPr>
              <w:spacing w:before="20" w:after="20"/>
            </w:pPr>
            <w:r>
              <w:rPr>
                <w:rFonts w:ascii="游ゴシック" w:hAnsi="游ゴシック" w:eastAsia="游ゴシック"/>
                <w:b w:val="0"/>
                <w:i w:val="0"/>
                <w:sz w:val="17"/>
              </w:rPr>
              <w:t>D1</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7030"/>
            <w:vAlign w:val="center"/>
          </w:tcPr>
          <w:p>
            <w:pPr>
              <w:spacing w:before="20" w:after="20"/>
            </w:pPr>
            <w:r>
              <w:rPr>
                <w:rFonts w:ascii="游ゴシック" w:hAnsi="游ゴシック" w:eastAsia="游ゴシック"/>
                <w:b w:val="0"/>
                <w:i w:val="0"/>
                <w:sz w:val="17"/>
              </w:rPr>
              <w:t>障企発0331第2号・こ支障第87号及び令和8年4月20日事務連絡の提供</w:t>
            </w:r>
          </w:p>
        </w:tc>
        <w:tc>
          <w:tcPr>
            <w:tcW w:type="dxa" w:w="1984"/>
            <w:vAlign w:val="center"/>
          </w:tcPr>
          <w:p>
            <w:pPr>
              <w:spacing w:before="20" w:after="20"/>
            </w:pPr>
            <w:r>
              <w:rPr>
                <w:rFonts w:ascii="游ゴシック" w:hAnsi="游ゴシック" w:eastAsia="游ゴシック"/>
                <w:b w:val="0"/>
                <w:i w:val="0"/>
                <w:sz w:val="17"/>
              </w:rPr>
              <w:t>D14</w:t>
            </w:r>
          </w:p>
        </w:tc>
      </w:tr>
      <w:tr>
        <w:tc>
          <w:tcPr>
            <w:tcW w:type="dxa" w:w="737"/>
            <w:vAlign w:val="center"/>
          </w:tcPr>
          <w:p>
            <w:pPr>
              <w:spacing w:before="20" w:after="20"/>
            </w:pPr>
            <w:r>
              <w:rPr>
                <w:rFonts w:ascii="游ゴシック" w:hAnsi="游ゴシック" w:eastAsia="游ゴシック"/>
                <w:b w:val="0"/>
                <w:i w:val="0"/>
                <w:sz w:val="17"/>
              </w:rPr>
              <w:t>県</w:t>
            </w:r>
          </w:p>
        </w:tc>
        <w:tc>
          <w:tcPr>
            <w:tcW w:type="dxa" w:w="7030"/>
            <w:vAlign w:val="center"/>
          </w:tcPr>
          <w:p>
            <w:pPr>
              <w:spacing w:before="20" w:after="20"/>
            </w:pPr>
            <w:r>
              <w:rPr>
                <w:rFonts w:ascii="游ゴシック" w:hAnsi="游ゴシック" w:eastAsia="游ゴシック"/>
                <w:b w:val="0"/>
                <w:i w:val="0"/>
                <w:sz w:val="17"/>
              </w:rPr>
              <w:t>別表第五の要件2（全国の利用者割合の分布）</w:t>
            </w:r>
          </w:p>
        </w:tc>
        <w:tc>
          <w:tcPr>
            <w:tcW w:type="dxa" w:w="1984"/>
            <w:vAlign w:val="center"/>
          </w:tcPr>
          <w:p>
            <w:pPr>
              <w:spacing w:before="20" w:after="20"/>
            </w:pPr>
            <w:r>
              <w:rPr>
                <w:rFonts w:ascii="游ゴシック" w:hAnsi="游ゴシック" w:eastAsia="游ゴシック"/>
                <w:b w:val="0"/>
                <w:i w:val="0"/>
                <w:sz w:val="17"/>
              </w:rPr>
              <w:t>D4</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7030"/>
            <w:vAlign w:val="center"/>
          </w:tcPr>
          <w:p>
            <w:pPr>
              <w:spacing w:before="20" w:after="20"/>
            </w:pPr>
            <w:r>
              <w:rPr>
                <w:rFonts w:ascii="游ゴシック" w:hAnsi="游ゴシック" w:eastAsia="游ゴシック"/>
                <w:b w:val="0"/>
                <w:i w:val="0"/>
                <w:sz w:val="17"/>
              </w:rPr>
              <w:t>継続入所者に該当する方の有無</w:t>
            </w:r>
          </w:p>
        </w:tc>
        <w:tc>
          <w:tcPr>
            <w:tcW w:type="dxa" w:w="1984"/>
            <w:vAlign w:val="center"/>
          </w:tcPr>
          <w:p>
            <w:pPr>
              <w:spacing w:before="20" w:after="20"/>
            </w:pPr>
            <w:r>
              <w:rPr>
                <w:rFonts w:ascii="游ゴシック" w:hAnsi="游ゴシック" w:eastAsia="游ゴシック"/>
                <w:b w:val="0"/>
                <w:i w:val="0"/>
                <w:sz w:val="17"/>
              </w:rPr>
              <w:t>D2</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7030"/>
            <w:vAlign w:val="center"/>
          </w:tcPr>
          <w:p>
            <w:pPr>
              <w:spacing w:before="20" w:after="20"/>
            </w:pPr>
            <w:r>
              <w:rPr>
                <w:rFonts w:ascii="游ゴシック" w:hAnsi="游ゴシック" w:eastAsia="游ゴシック"/>
                <w:b w:val="0"/>
                <w:i w:val="0"/>
                <w:sz w:val="17"/>
              </w:rPr>
              <w:t>保育所・認定こども園・放課後児童クラブにおける障がい児の受入人数と加配の状況（令和6〜8年度）</w:t>
            </w:r>
          </w:p>
        </w:tc>
        <w:tc>
          <w:tcPr>
            <w:tcW w:type="dxa" w:w="1984"/>
            <w:vAlign w:val="center"/>
          </w:tcPr>
          <w:p>
            <w:pPr>
              <w:spacing w:before="20" w:after="20"/>
            </w:pPr>
            <w:r>
              <w:rPr>
                <w:rFonts w:ascii="游ゴシック" w:hAnsi="游ゴシック" w:eastAsia="游ゴシック"/>
                <w:b w:val="0"/>
                <w:i w:val="0"/>
                <w:sz w:val="17"/>
              </w:rPr>
              <w:t>D3</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7030"/>
            <w:vAlign w:val="center"/>
          </w:tcPr>
          <w:p>
            <w:pPr>
              <w:spacing w:before="20" w:after="20"/>
            </w:pPr>
            <w:r>
              <w:rPr>
                <w:rFonts w:ascii="游ゴシック" w:hAnsi="游ゴシック" w:eastAsia="游ゴシック"/>
                <w:b w:val="0"/>
                <w:i w:val="0"/>
                <w:sz w:val="17"/>
              </w:rPr>
              <w:t>R5〜R8実績の集計の基準（R8はどの月までの累計か）</w:t>
            </w:r>
          </w:p>
        </w:tc>
        <w:tc>
          <w:tcPr>
            <w:tcW w:type="dxa" w:w="1984"/>
            <w:vAlign w:val="center"/>
          </w:tcPr>
          <w:p>
            <w:pPr>
              <w:spacing w:before="20" w:after="20"/>
            </w:pPr>
            <w:r>
              <w:rPr>
                <w:rFonts w:ascii="游ゴシック" w:hAnsi="游ゴシック" w:eastAsia="游ゴシック"/>
                <w:b w:val="0"/>
                <w:i w:val="0"/>
                <w:sz w:val="17"/>
              </w:rPr>
              <w:t>D5</w:t>
            </w:r>
          </w:p>
        </w:tc>
      </w:tr>
      <w:tr>
        <w:tc>
          <w:tcPr>
            <w:tcW w:type="dxa" w:w="737"/>
            <w:vAlign w:val="center"/>
          </w:tcPr>
          <w:p>
            <w:pPr>
              <w:keepNext/>
              <w:spacing w:before="20" w:after="20"/>
            </w:pPr>
            <w:r>
              <w:rPr>
                <w:rFonts w:ascii="游ゴシック" w:hAnsi="游ゴシック" w:eastAsia="游ゴシック"/>
                <w:b w:val="0"/>
                <w:i w:val="0"/>
                <w:sz w:val="17"/>
              </w:rPr>
              <w:t>町</w:t>
            </w:r>
          </w:p>
        </w:tc>
        <w:tc>
          <w:tcPr>
            <w:tcW w:type="dxa" w:w="7030"/>
            <w:vAlign w:val="center"/>
          </w:tcPr>
          <w:p>
            <w:pPr>
              <w:keepNext/>
              <w:spacing w:before="20" w:after="20"/>
            </w:pPr>
            <w:r>
              <w:rPr>
                <w:rFonts w:ascii="游ゴシック" w:hAnsi="游ゴシック" w:eastAsia="游ゴシック"/>
                <w:b w:val="0"/>
                <w:i w:val="0"/>
                <w:sz w:val="17"/>
              </w:rPr>
              <w:t>令和7年度末時点の施設入所者数（実人数）</w:t>
            </w:r>
          </w:p>
        </w:tc>
        <w:tc>
          <w:tcPr>
            <w:tcW w:type="dxa" w:w="1984"/>
            <w:vAlign w:val="center"/>
          </w:tcPr>
          <w:p>
            <w:pPr>
              <w:keepNext/>
              <w:spacing w:before="20" w:after="20"/>
            </w:pPr>
            <w:r>
              <w:rPr>
                <w:rFonts w:ascii="游ゴシック" w:hAnsi="游ゴシック" w:eastAsia="游ゴシック"/>
                <w:b w:val="0"/>
                <w:i w:val="0"/>
                <w:sz w:val="17"/>
              </w:rPr>
              <w:t>D9</w:t>
            </w:r>
          </w:p>
        </w:tc>
      </w:tr>
      <w:tr>
        <w:tc>
          <w:tcPr>
            <w:tcW w:type="dxa" w:w="737"/>
            <w:vAlign w:val="center"/>
          </w:tcPr>
          <w:p>
            <w:pPr>
              <w:spacing w:before="20" w:after="20"/>
            </w:pPr>
            <w:r>
              <w:rPr>
                <w:rFonts w:ascii="游ゴシック" w:hAnsi="游ゴシック" w:eastAsia="游ゴシック"/>
                <w:b w:val="0"/>
                <w:i w:val="0"/>
                <w:sz w:val="17"/>
              </w:rPr>
              <w:t>町</w:t>
            </w:r>
          </w:p>
        </w:tc>
        <w:tc>
          <w:tcPr>
            <w:tcW w:type="dxa" w:w="7030"/>
            <w:vAlign w:val="center"/>
          </w:tcPr>
          <w:p>
            <w:pPr>
              <w:spacing w:before="20" w:after="20"/>
            </w:pPr>
            <w:r>
              <w:rPr>
                <w:rFonts w:ascii="游ゴシック" w:hAnsi="游ゴシック" w:eastAsia="游ゴシック"/>
                <w:b w:val="0"/>
                <w:i w:val="0"/>
                <w:sz w:val="17"/>
              </w:rPr>
              <w:t>放課後等デイサービスの減少の内訳（卒業・転出・利用中止の別）</w:t>
            </w:r>
          </w:p>
        </w:tc>
        <w:tc>
          <w:tcPr>
            <w:tcW w:type="dxa" w:w="1984"/>
            <w:vAlign w:val="center"/>
          </w:tcPr>
          <w:p>
            <w:pPr>
              <w:spacing w:before="20" w:after="20"/>
            </w:pPr>
            <w:r>
              <w:rPr>
                <w:rFonts w:ascii="游ゴシック" w:hAnsi="游ゴシック" w:eastAsia="游ゴシック"/>
                <w:b w:val="0"/>
                <w:i w:val="0"/>
                <w:sz w:val="17"/>
              </w:rPr>
              <w:t>D10</w:t>
            </w:r>
          </w:p>
        </w:tc>
      </w:tr>
    </w:tbl>
    <w:p>
      <w:pPr>
        <w:spacing w:after="40"/>
      </w:pPr>
    </w:p>
    <w:sectPr w:rsidR="00FC693F" w:rsidRPr="0006063C" w:rsidSect="00034616">
      <w:headerReference w:type="default" r:id="rId11"/>
      <w:footerReference w:type="default" r:id="rId12"/>
      <w:pgSz w:w="11906" w:h="16838"/>
      <w:pgMar w:top="1134" w:right="1077" w:bottom="1134" w:left="1077" w:header="709" w:footer="709"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r>
      <w:rPr>
        <w:rFonts w:ascii="游ゴシック" w:hAnsi="游ゴシック" w:eastAsia="游ゴシック"/>
        <w:b w:val="0"/>
        <w:i w:val="0"/>
        <w:sz w:val="20"/>
      </w:r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游ゴシック" w:hAnsi="游ゴシック" w:eastAsia="游ゴシック"/>
        <w:b w:val="0"/>
        <w:i w:val="0"/>
        <w:sz w:val="20"/>
      </w:rPr>
      <w:t xml:space="preserve">- </w:t>
    </w:r>
    <w:r>
      <w:rPr>
        <w:rFonts w:ascii="游ゴシック" w:hAnsi="游ゴシック" w:eastAsia="游ゴシック"/>
        <w:b w:val="0"/>
        <w:i w:val="0"/>
        <w:sz w:val="20"/>
      </w:rPr>
      <w:fldChar w:fldCharType="begin"/>
    </w:r>
    <w:r>
      <w:rPr>
        <w:rFonts w:ascii="游ゴシック" w:hAnsi="游ゴシック" w:eastAsia="游ゴシック"/>
        <w:b w:val="0"/>
        <w:i w:val="0"/>
        <w:sz w:val="20"/>
      </w:rPr>
      <w:instrText xml:space="preserve"> PAGE </w:instrText>
    </w:r>
    <w:r>
      <w:rPr>
        <w:rFonts w:ascii="游ゴシック" w:hAnsi="游ゴシック" w:eastAsia="游ゴシック"/>
        <w:b w:val="0"/>
        <w:i w:val="0"/>
        <w:sz w:val="20"/>
      </w:rPr>
      <w:fldChar w:fldCharType="end"/>
    </w:r>
    <w:r>
      <w:rPr>
        <w:rFonts w:ascii="游ゴシック" w:hAnsi="游ゴシック" w:eastAsia="游ゴシック"/>
        <w:b w:val="0"/>
        <w:i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r>
    <w:r>
      <w:rPr>
        <w:rFonts w:ascii="游ゴシック" w:hAnsi="游ゴシック" w:eastAsia="游ゴシック"/>
        <w:b w:val="0"/>
        <w:i w:val="0"/>
        <w:sz w:val="18"/>
      </w:rPr>
      <w:t>小野町　障がい計画　国の動向の反映と手順の乖離</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游ゴシック" w:hAnsi="游ゴシック" w:eastAsia="游ゴシック"/>
        <w:b w:val="0"/>
        <w:i w:val="0"/>
        <w:sz w:val="18"/>
      </w:rPr>
      <w:t>小野町　障がい計画　国の動向の反映と手順の乖離</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60" w:after="60"/>
    </w:pPr>
    <w:rPr>
      <w:rFonts w:ascii="游ゴシック" w:hAnsi="游ゴシック" w:eastAsia="游ゴシック"/>
      <w:sz w:val="21"/>
      <w:lang w:val="en-US" w:eastAsia="ja-JP"/>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ind w:left="0" w:firstLine="0"/>
      <w:outlineLvl w:val="0"/>
    </w:pPr>
    <w:rPr>
      <w:rFonts w:asciiTheme="majorHAnsi" w:eastAsiaTheme="majorEastAsia" w:hAnsiTheme="majorHAnsi" w:cstheme="majorBidi" w:ascii="游ゴシック" w:hAnsi="游ゴシック" w:eastAsia="游ゴシック"/>
      <w:b/>
      <w:bCs/>
      <w:i w:val="0"/>
      <w:color w:val="2E74B5"/>
      <w:sz w:val="30"/>
      <w:szCs w:val="28"/>
    </w:rPr>
  </w:style>
  <w:style w:type="paragraph" w:styleId="Heading2">
    <w:name w:val="heading 2"/>
    <w:basedOn w:val="Normal"/>
    <w:next w:val="Normal"/>
    <w:link w:val="Heading2Char"/>
    <w:uiPriority w:val="9"/>
    <w:unhideWhenUsed/>
    <w:qFormat/>
    <w:rsid w:val="00FC693F"/>
    <w:pPr>
      <w:keepNext/>
      <w:keepLines/>
      <w:spacing w:before="180" w:after="100"/>
      <w:ind w:left="0" w:firstLine="0"/>
      <w:outlineLvl w:val="1"/>
    </w:pPr>
    <w:rPr>
      <w:rFonts w:asciiTheme="majorHAnsi" w:eastAsiaTheme="majorEastAsia" w:hAnsiTheme="majorHAnsi" w:cstheme="majorBidi" w:ascii="游ゴシック" w:hAnsi="游ゴシック" w:eastAsia="游ゴシック"/>
      <w:b/>
      <w:bCs/>
      <w:i w:val="0"/>
      <w:color w:val="2E74B5"/>
      <w:sz w:val="25"/>
      <w:szCs w:val="26"/>
    </w:rPr>
  </w:style>
  <w:style w:type="paragraph" w:styleId="Heading3">
    <w:name w:val="heading 3"/>
    <w:basedOn w:val="Normal"/>
    <w:next w:val="Normal"/>
    <w:link w:val="Heading3Char"/>
    <w:uiPriority w:val="9"/>
    <w:unhideWhenUsed/>
    <w:qFormat/>
    <w:rsid w:val="00FC693F"/>
    <w:pPr>
      <w:keepNext/>
      <w:keepLines/>
      <w:spacing w:before="180" w:after="80"/>
      <w:ind w:left="0" w:firstLine="0"/>
      <w:outlineLvl w:val="2"/>
    </w:pPr>
    <w:rPr>
      <w:rFonts w:asciiTheme="majorHAnsi" w:eastAsiaTheme="majorEastAsia" w:hAnsiTheme="majorHAnsi" w:cstheme="majorBidi" w:ascii="游ゴシック" w:hAnsi="游ゴシック" w:eastAsia="游ゴシック"/>
      <w:b/>
      <w:bCs/>
      <w:i w:val="0"/>
      <w:color w:val="1F4D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小野町　障がい計画　国の動向の反映と手順の乖離</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dc:language>ja-JP</dc:language>
</cp:coreProperties>
</file>