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游ゴシック" w:hAnsi="游ゴシック" w:eastAsia="游ゴシック"/>
          <w:b w:val="0"/>
          <w:sz w:val="22"/>
        </w:rPr>
        <w:t>大雪地区広域連合　介護保険対策室　御中</w:t>
      </w:r>
    </w:p>
    <w:p>
      <w:pPr>
        <w:spacing w:after="80"/>
      </w:pPr>
      <w:r>
        <w:rPr>
          <w:rFonts w:ascii="游ゴシック" w:hAnsi="游ゴシック" w:eastAsia="游ゴシック"/>
          <w:b w:val="0"/>
          <w:sz w:val="21"/>
        </w:rPr>
      </w:r>
    </w:p>
    <w:p>
      <w:pPr>
        <w:spacing w:after="40"/>
        <w:jc w:val="center"/>
      </w:pPr>
      <w:r>
        <w:rPr>
          <w:rFonts w:ascii="游ゴシック" w:hAnsi="游ゴシック" w:eastAsia="游ゴシック"/>
          <w:b/>
          <w:sz w:val="30"/>
        </w:rPr>
        <w:t>第10期介護保険事業計画策定業務　確認依頼書</w:t>
      </w:r>
    </w:p>
    <w:p>
      <w:pPr>
        <w:spacing w:after="40"/>
        <w:jc w:val="center"/>
      </w:pPr>
      <w:r>
        <w:rPr>
          <w:rFonts w:ascii="游ゴシック" w:hAnsi="游ゴシック" w:eastAsia="游ゴシック"/>
          <w:b w:val="0"/>
          <w:sz w:val="20"/>
        </w:rPr>
        <w:t>― 第1回介護保険事業計画策定委員会に向けた確認事項 ―</w:t>
      </w:r>
    </w:p>
    <w:p>
      <w:pPr>
        <w:spacing w:after="200"/>
        <w:jc w:val="center"/>
      </w:pPr>
      <w:r>
        <w:rPr>
          <w:rFonts w:ascii="游ゴシック" w:hAnsi="游ゴシック" w:eastAsia="游ゴシック"/>
          <w:b w:val="0"/>
          <w:sz w:val="18"/>
        </w:rPr>
        <w:t>（第6版　見える化の指標リストとの突合結果を反映）</w:t>
      </w:r>
    </w:p>
    <w:p>
      <w:pPr>
        <w:spacing w:after="280"/>
        <w:jc w:val="right"/>
      </w:pPr>
      <w:r>
        <w:rPr>
          <w:rFonts w:ascii="游ゴシック" w:hAnsi="游ゴシック" w:eastAsia="游ゴシック"/>
          <w:b w:val="0"/>
          <w:sz w:val="21"/>
        </w:rPr>
        <w:t>令和8年7月28日</w:t>
      </w:r>
    </w:p>
    <w:p>
      <w:pPr>
        <w:spacing w:after="80"/>
      </w:pPr>
      <w:r>
        <w:rPr>
          <w:rFonts w:ascii="游ゴシック" w:hAnsi="游ゴシック" w:eastAsia="游ゴシック"/>
          <w:b w:val="0"/>
          <w:sz w:val="21"/>
        </w:rPr>
        <w:t>平素より大変お世話になっております。</w:t>
      </w:r>
    </w:p>
    <w:p>
      <w:pPr>
        <w:spacing w:after="80"/>
      </w:pPr>
      <w:r>
        <w:rPr>
          <w:rFonts w:ascii="游ゴシック" w:hAnsi="游ゴシック" w:eastAsia="游ゴシック"/>
          <w:b w:val="0"/>
          <w:sz w:val="21"/>
        </w:rPr>
        <w:t>第10期介護保険事業計画の策定にあたり、貸与いただいた第9期計画、3町の高齢者福祉計画、業務仕様書、地域包括ケア「見える化」システムのデータ、令和7年度 健康とくらしの調査の成果物を精査し、あわせて第9期計画の妥当性と第10期施策の妥当性を検証いたしました。</w:t>
      </w:r>
    </w:p>
    <w:p>
      <w:pPr>
        <w:spacing w:after="80"/>
      </w:pPr>
      <w:r>
        <w:rPr>
          <w:rFonts w:ascii="游ゴシック" w:hAnsi="游ゴシック" w:eastAsia="游ゴシック"/>
          <w:b w:val="0"/>
          <w:sz w:val="21"/>
        </w:rPr>
        <w:t>その結果、修正指示は59件（うち第1回委員会前に対応すべきもの18件）となり、そのうち発注者へのご確認が必要なものが41件ございます。</w:t>
      </w:r>
    </w:p>
    <w:p>
      <w:pPr>
        <w:spacing w:after="200"/>
      </w:pPr>
      <w:r>
        <w:rPr>
          <w:rFonts w:ascii="游ゴシック" w:hAnsi="游ゴシック" w:eastAsia="游ゴシック"/>
          <w:b w:val="0"/>
          <w:sz w:val="21"/>
        </w:rPr>
        <w:t>本書では、第1回委員会でご決定いただきたい事項7件、事務局にてご確認いただきたい事項19件、ご提供をお願いする資料21件に整理しております。</w:t>
      </w:r>
    </w:p>
    <w:p>
      <w:pPr>
        <w:spacing w:after="200"/>
      </w:pPr>
      <w:r>
        <w:rPr>
          <w:rFonts w:ascii="游ゴシック" w:hAnsi="游ゴシック" w:eastAsia="游ゴシック"/>
          <w:b w:val="0"/>
          <w:sz w:val="21"/>
        </w:rPr>
        <w:t>このたび、第10期介護保険事業（支援）計画の基本指針案（社会保障審議会介護保険部会 第134回・第135回資料）及び第9期北海道高齢者保健福祉計画・介護保険事業支援計画の本編をご提供いただき、国及び北海道の方針との整合を原典で確認いたしました。その結果、第9期の代表KPI④「通いの場参加率」について、目標の根拠とした国の目標値と実績の統計が異なることが判明いたしました（下記１（7））。あわせて、基本指針に新設される別表「確認すべき指標・状況」11事項のうち、現時点で対応できているのが2事項にとどまることを確認しております。</w:t>
      </w:r>
    </w:p>
    <w:p>
      <w:pPr>
        <w:spacing w:after="200"/>
      </w:pPr>
      <w:r>
        <w:rPr>
          <w:rFonts w:ascii="游ゴシック" w:hAnsi="游ゴシック" w:eastAsia="游ゴシック"/>
          <w:b w:val="0"/>
          <w:sz w:val="21"/>
        </w:rPr>
        <w:t>あわせて、北海道の計画が第5章の全8節を「現状と課題／関連データ／施策の方向性／主な事業（インプット・アウトプット）／達成目標（アウトカム）」の5層で記述しており、国の基本指針案が求めるロジックモデルを既に実装していることを確認いたしました。第10期計画の第5章も同じ構成に改めることを提案いたします（下記４の参考をご覧ください）。</w:t>
      </w:r>
    </w:p>
    <w:p>
      <w:pPr>
        <w:spacing w:after="80"/>
      </w:pPr>
      <w:r>
        <w:rPr>
          <w:rFonts w:ascii="游ゴシック" w:hAnsi="游ゴシック" w:eastAsia="游ゴシック"/>
          <w:b/>
          <w:sz w:val="20"/>
        </w:rPr>
        <w:t>【検証で確認できた中心的な事実】</w:t>
      </w:r>
    </w:p>
    <w:tbl>
      <w:tblPr>
        <w:tblStyle w:val="TableGrid"/>
        <w:tblW w:type="auto" w:w="0"/>
        <w:jc w:val="center"/>
        <w:tblLook w:firstColumn="1" w:firstRow="1" w:lastColumn="0" w:lastRow="0" w:noHBand="0" w:noVBand="1" w:val="04A0"/>
      </w:tblPr>
      <w:tblGrid>
        <w:gridCol w:w="5100"/>
        <w:gridCol w:w="5100"/>
      </w:tblGrid>
      <w:tr>
        <w:tc>
          <w:tcPr>
            <w:tcW w:type="dxa" w:w="2041"/>
          </w:tcPr>
          <w:p>
            <w:r/>
            <w:r>
              <w:rPr>
                <w:rFonts w:ascii="游ゴシック" w:hAnsi="游ゴシック" w:eastAsia="游ゴシック"/>
                <w:b/>
                <w:sz w:val="18"/>
              </w:rPr>
              <w:t>論点</w:t>
            </w:r>
          </w:p>
        </w:tc>
        <w:tc>
          <w:tcPr>
            <w:tcW w:type="dxa" w:w="7710"/>
          </w:tcPr>
          <w:p>
            <w:r/>
            <w:r>
              <w:rPr>
                <w:rFonts w:ascii="游ゴシック" w:hAnsi="游ゴシック" w:eastAsia="游ゴシック"/>
                <w:b/>
                <w:sz w:val="18"/>
              </w:rPr>
              <w:t>確認できた事実</w:t>
            </w:r>
          </w:p>
        </w:tc>
      </w:tr>
      <w:tr>
        <w:tc>
          <w:tcPr>
            <w:tcW w:type="dxa" w:w="2041"/>
          </w:tcPr>
          <w:p>
            <w:r/>
            <w:r>
              <w:rPr>
                <w:rFonts w:ascii="游ゴシック" w:hAnsi="游ゴシック" w:eastAsia="游ゴシック"/>
                <w:sz w:val="18"/>
              </w:rPr>
              <w:t>給付水準の高さの要因</w:t>
            </w:r>
          </w:p>
        </w:tc>
        <w:tc>
          <w:tcPr>
            <w:tcW w:type="dxa" w:w="7710"/>
          </w:tcPr>
          <w:p>
            <w:r/>
            <w:r>
              <w:rPr>
                <w:rFonts w:ascii="游ゴシック" w:hAnsi="游ゴシック" w:eastAsia="游ゴシック"/>
                <w:sz w:val="18"/>
              </w:rPr>
              <w:t>受給率（受給者÷第1号被保険者）は在宅が全国比1.02とほぼ同水準である一方、施設および居住系が全国比1.23と突出しています。年齢調整後の認定率は全国比1.02で全国並みです。給付水準の高さは認定率ではなく、施設・居住系の受給率と、訪問介護の利用強度に由来します。</w:t>
            </w:r>
          </w:p>
        </w:tc>
      </w:tr>
      <w:tr>
        <w:tc>
          <w:tcPr>
            <w:tcW w:type="dxa" w:w="2041"/>
          </w:tcPr>
          <w:p>
            <w:r/>
            <w:r>
              <w:rPr>
                <w:rFonts w:ascii="游ゴシック" w:hAnsi="游ゴシック" w:eastAsia="游ゴシック"/>
                <w:sz w:val="18"/>
              </w:rPr>
              <w:t>訪問介護の突出</w:t>
            </w:r>
          </w:p>
        </w:tc>
        <w:tc>
          <w:tcPr>
            <w:tcW w:type="dxa" w:w="7710"/>
          </w:tcPr>
          <w:p>
            <w:r/>
            <w:r>
              <w:rPr>
                <w:rFonts w:ascii="游ゴシック" w:hAnsi="游ゴシック" w:eastAsia="游ゴシック"/>
                <w:sz w:val="18"/>
              </w:rPr>
              <w:t>受給者1人あたり利用回数は令和7年度55.4回で全国29.7回の1.87倍、給付月額は133,685円で全国86,541円の1.54倍です。一方、通所介護の給付月額は62,688円で全国84,875円の0.74倍と低くなっています。</w:t>
            </w:r>
          </w:p>
        </w:tc>
      </w:tr>
      <w:tr>
        <w:tc>
          <w:tcPr>
            <w:tcW w:type="dxa" w:w="2041"/>
          </w:tcPr>
          <w:p>
            <w:r/>
            <w:r>
              <w:rPr>
                <w:rFonts w:ascii="游ゴシック" w:hAnsi="游ゴシック" w:eastAsia="游ゴシック"/>
                <w:sz w:val="18"/>
              </w:rPr>
              <w:t>供給の縮小</w:t>
            </w:r>
          </w:p>
        </w:tc>
        <w:tc>
          <w:tcPr>
            <w:tcW w:type="dxa" w:w="7710"/>
          </w:tcPr>
          <w:p>
            <w:r/>
            <w:r>
              <w:rPr>
                <w:rFonts w:ascii="游ゴシック" w:hAnsi="游ゴシック" w:eastAsia="游ゴシック"/>
                <w:sz w:val="18"/>
              </w:rPr>
              <w:t>要支援・要介護者1人あたりの施設定員は平成30年度0.288人から令和7年度0.237人へ17.7％減、うち介護老人福祉施設は34.9％減です。同時に要介護5の在宅・居住系割合は平成26年度31.3％から令和7年度54.6％へ上昇しています。</w:t>
            </w:r>
          </w:p>
        </w:tc>
      </w:tr>
      <w:tr>
        <w:tc>
          <w:tcPr>
            <w:tcW w:type="dxa" w:w="2041"/>
          </w:tcPr>
          <w:p>
            <w:r/>
            <w:r>
              <w:rPr>
                <w:rFonts w:ascii="游ゴシック" w:hAnsi="游ゴシック" w:eastAsia="游ゴシック"/>
                <w:sz w:val="18"/>
              </w:rPr>
              <w:t>保険料の設定</w:t>
            </w:r>
          </w:p>
        </w:tc>
        <w:tc>
          <w:tcPr>
            <w:tcW w:type="dxa" w:w="7710"/>
          </w:tcPr>
          <w:p>
            <w:r/>
            <w:r>
              <w:rPr>
                <w:rFonts w:ascii="游ゴシック" w:hAnsi="游ゴシック" w:eastAsia="游ゴシック"/>
                <w:sz w:val="18"/>
              </w:rPr>
              <w:t>必要保険料月額は令和6年度6,063円・令和7年度6,352円で、いずれも基準額6,400円を下回っており、2年で約42百万円（概算）の剰余が生じています。</w:t>
            </w:r>
          </w:p>
        </w:tc>
      </w:tr>
    </w:tbl>
    <w:p>
      <w:r>
        <w:br w:type="page"/>
      </w:r>
    </w:p>
    <w:p>
      <w:pPr>
        <w:spacing w:after="120" w:before="200"/>
      </w:pPr>
      <w:r>
        <w:rPr>
          <w:rFonts w:ascii="游ゴシック" w:hAnsi="游ゴシック" w:eastAsia="游ゴシック"/>
          <w:b/>
          <w:sz w:val="24"/>
        </w:rPr>
        <w:t>１　第1回委員会でご決定いただきたい事項（7件）</w:t>
      </w:r>
    </w:p>
    <w:p>
      <w:pPr>
        <w:spacing w:after="80"/>
      </w:pPr>
      <w:r>
        <w:rPr>
          <w:rFonts w:ascii="游ゴシック" w:hAnsi="游ゴシック" w:eastAsia="游ゴシック"/>
          <w:b w:val="0"/>
          <w:sz w:val="19"/>
        </w:rPr>
        <w:t>いずれも計画の構成・指標体系・圏域の根幹に関わるため、委員会でのご決定が必要と考えます。</w:t>
      </w:r>
    </w:p>
    <w:p>
      <w:pPr>
        <w:spacing w:after="80"/>
      </w:pPr>
      <w:r>
        <w:rPr>
          <w:rFonts w:ascii="游ゴシック" w:hAnsi="游ゴシック" w:eastAsia="游ゴシック"/>
          <w:b w:val="0"/>
          <w:sz w:val="21"/>
        </w:rPr>
      </w:r>
    </w:p>
    <w:p>
      <w:pPr>
        <w:spacing w:after="80"/>
      </w:pPr>
      <w:r>
        <w:rPr>
          <w:rFonts w:ascii="游ゴシック" w:hAnsi="游ゴシック" w:eastAsia="游ゴシック"/>
          <w:b/>
          <w:sz w:val="21"/>
        </w:rPr>
        <w:t>(1) 事業所実態調査の取扱い　【最重要】</w:t>
      </w:r>
    </w:p>
    <w:p>
      <w:pPr>
        <w:spacing w:after="80"/>
      </w:pPr>
      <w:r>
        <w:rPr>
          <w:rFonts w:ascii="游ゴシック" w:hAnsi="游ゴシック" w:eastAsia="游ゴシック"/>
          <w:b w:val="0"/>
          <w:sz w:val="19"/>
        </w:rPr>
        <w:t>仕様書４（３）に「本業務において新たなアンケート調査の企画、設計、配布、回収、入力及び督促は行わない」と明記されており、委託費内訳書にも調査実施の費目がございません。一方、これまでの計画素案・委員会資料は事業所実態調査の実施を前提として組み立てております。</w:t>
      </w:r>
    </w:p>
    <w:p>
      <w:pPr>
        <w:spacing w:after="80"/>
      </w:pPr>
      <w:r>
        <w:rPr>
          <w:rFonts w:ascii="游ゴシック" w:hAnsi="游ゴシック" w:eastAsia="游ゴシック"/>
          <w:b w:val="0"/>
          <w:sz w:val="19"/>
        </w:rPr>
        <w:t>KPIのH12（必要サービス未充足率）・H13（職種別欠員率）・H14（採用者1年定着率）・H16（災害・感染症時の必須サービス継続率）は、いずれもこの調査をデータ源としています。</w:t>
      </w:r>
    </w:p>
    <w:p>
      <w:pPr>
        <w:spacing w:after="80"/>
      </w:pPr>
      <w:r>
        <w:rPr>
          <w:rFonts w:ascii="游ゴシック" w:hAnsi="游ゴシック" w:eastAsia="游ゴシック"/>
          <w:b w:val="0"/>
          <w:sz w:val="19"/>
        </w:rPr>
        <w:t>また検証の結果、介護サービス利用率が平成28年度82.2％から令和6年度74.3％へ低下し、令和6年度は認定者1,962人に対し受給者1,458人で504人が未利用となっております。この504人が需要の減少によるものか供給の制約によるものかの判別は第10期の中心論点であり、判別手段の確保が不可欠です。</w:t>
      </w:r>
    </w:p>
    <w:tbl>
      <w:tblPr>
        <w:tblStyle w:val="TableGrid"/>
        <w:tblW w:type="auto" w:w="0"/>
        <w:jc w:val="center"/>
        <w:tblLook w:firstColumn="1" w:firstRow="1" w:lastColumn="0" w:lastRow="0" w:noHBand="0" w:noVBand="1" w:val="04A0"/>
      </w:tblPr>
      <w:tblGrid>
        <w:gridCol w:w="3400"/>
        <w:gridCol w:w="3400"/>
        <w:gridCol w:w="3400"/>
      </w:tblGrid>
      <w:tr>
        <w:tc>
          <w:tcPr>
            <w:tcW w:type="dxa" w:w="680"/>
          </w:tcPr>
          <w:p>
            <w:r/>
            <w:r>
              <w:rPr>
                <w:rFonts w:ascii="游ゴシック" w:hAnsi="游ゴシック" w:eastAsia="游ゴシック"/>
                <w:b/>
                <w:sz w:val="18"/>
              </w:rPr>
              <w:t>案</w:t>
            </w:r>
          </w:p>
        </w:tc>
        <w:tc>
          <w:tcPr>
            <w:tcW w:type="dxa" w:w="4989"/>
          </w:tcPr>
          <w:p>
            <w:r/>
            <w:r>
              <w:rPr>
                <w:rFonts w:ascii="游ゴシック" w:hAnsi="游ゴシック" w:eastAsia="游ゴシック"/>
                <w:b/>
                <w:sz w:val="18"/>
              </w:rPr>
              <w:t>内容</w:t>
            </w:r>
          </w:p>
        </w:tc>
        <w:tc>
          <w:tcPr>
            <w:tcW w:type="dxa" w:w="3515"/>
          </w:tcPr>
          <w:p>
            <w:r/>
            <w:r>
              <w:rPr>
                <w:rFonts w:ascii="游ゴシック" w:hAnsi="游ゴシック" w:eastAsia="游ゴシック"/>
                <w:b/>
                <w:sz w:val="18"/>
              </w:rPr>
              <w:t>KPIへの影響</w:t>
            </w:r>
          </w:p>
        </w:tc>
      </w:tr>
      <w:tr>
        <w:tc>
          <w:tcPr>
            <w:tcW w:type="dxa" w:w="680"/>
          </w:tcPr>
          <w:p>
            <w:r/>
            <w:r>
              <w:rPr>
                <w:rFonts w:ascii="游ゴシック" w:hAnsi="游ゴシック" w:eastAsia="游ゴシック"/>
                <w:sz w:val="18"/>
              </w:rPr>
              <w:t>A</w:t>
            </w:r>
          </w:p>
        </w:tc>
        <w:tc>
          <w:tcPr>
            <w:tcW w:type="dxa" w:w="4989"/>
          </w:tcPr>
          <w:p>
            <w:r/>
            <w:r>
              <w:rPr>
                <w:rFonts w:ascii="游ゴシック" w:hAnsi="游ゴシック" w:eastAsia="游ゴシック"/>
                <w:sz w:val="18"/>
              </w:rPr>
              <w:t>既受領の介護人材実態調査（第9期実施・対象35事業所／回答27施設）の再分析で代替する</w:t>
            </w:r>
          </w:p>
        </w:tc>
        <w:tc>
          <w:tcPr>
            <w:tcW w:type="dxa" w:w="3515"/>
          </w:tcPr>
          <w:p>
            <w:r/>
            <w:r>
              <w:rPr>
                <w:rFonts w:ascii="游ゴシック" w:hAnsi="游ゴシック" w:eastAsia="游ゴシック"/>
                <w:sz w:val="18"/>
              </w:rPr>
              <w:t>H13・H14は取得可。H12・H16は代替指標が必要</w:t>
            </w:r>
          </w:p>
        </w:tc>
      </w:tr>
      <w:tr>
        <w:tc>
          <w:tcPr>
            <w:tcW w:type="dxa" w:w="680"/>
          </w:tcPr>
          <w:p>
            <w:r/>
            <w:r>
              <w:rPr>
                <w:rFonts w:ascii="游ゴシック" w:hAnsi="游ゴシック" w:eastAsia="游ゴシック"/>
                <w:sz w:val="18"/>
              </w:rPr>
              <w:t>B</w:t>
            </w:r>
          </w:p>
        </w:tc>
        <w:tc>
          <w:tcPr>
            <w:tcW w:type="dxa" w:w="4989"/>
          </w:tcPr>
          <w:p>
            <w:r/>
            <w:r>
              <w:rPr>
                <w:rFonts w:ascii="游ゴシック" w:hAnsi="游ゴシック" w:eastAsia="游ゴシック"/>
                <w:sz w:val="18"/>
              </w:rPr>
              <w:t>発注者が調査を実施し、受託者は設計支援・集計のみを担う（仕様変更又は別途協議）</w:t>
            </w:r>
          </w:p>
        </w:tc>
        <w:tc>
          <w:tcPr>
            <w:tcW w:type="dxa" w:w="3515"/>
          </w:tcPr>
          <w:p>
            <w:r/>
            <w:r>
              <w:rPr>
                <w:rFonts w:ascii="游ゴシック" w:hAnsi="游ゴシック" w:eastAsia="游ゴシック"/>
                <w:sz w:val="18"/>
              </w:rPr>
              <w:t>影響なし</w:t>
            </w:r>
          </w:p>
        </w:tc>
      </w:tr>
      <w:tr>
        <w:tc>
          <w:tcPr>
            <w:tcW w:type="dxa" w:w="680"/>
          </w:tcPr>
          <w:p>
            <w:r/>
            <w:r>
              <w:rPr>
                <w:rFonts w:ascii="游ゴシック" w:hAnsi="游ゴシック" w:eastAsia="游ゴシック"/>
                <w:sz w:val="18"/>
              </w:rPr>
              <w:t>C</w:t>
            </w:r>
          </w:p>
        </w:tc>
        <w:tc>
          <w:tcPr>
            <w:tcW w:type="dxa" w:w="4989"/>
          </w:tcPr>
          <w:p>
            <w:r/>
            <w:r>
              <w:rPr>
                <w:rFonts w:ascii="游ゴシック" w:hAnsi="游ゴシック" w:eastAsia="游ゴシック"/>
                <w:sz w:val="18"/>
              </w:rPr>
              <w:t>供給制約の検証を給付実績・指定台帳・ケアマネジャーへのヒアリング等に置き換える</w:t>
            </w:r>
          </w:p>
        </w:tc>
        <w:tc>
          <w:tcPr>
            <w:tcW w:type="dxa" w:w="3515"/>
          </w:tcPr>
          <w:p>
            <w:r/>
            <w:r>
              <w:rPr>
                <w:rFonts w:ascii="游ゴシック" w:hAnsi="游ゴシック" w:eastAsia="游ゴシック"/>
                <w:sz w:val="18"/>
              </w:rPr>
              <w:t>H12は代理指標へ変更</w:t>
            </w:r>
          </w:p>
        </w:tc>
      </w:tr>
    </w:tbl>
    <w:p>
      <w:pPr>
        <w:spacing w:after="80"/>
      </w:pPr>
      <w:r>
        <w:rPr>
          <w:rFonts w:ascii="游ゴシック" w:hAnsi="游ゴシック" w:eastAsia="游ゴシック"/>
          <w:b w:val="0"/>
          <w:sz w:val="19"/>
        </w:rPr>
        <w:t>→ ご希望の案：　□A案　□B案　□C案　□その他（　　　　　　　　　　　　）</w:t>
      </w:r>
    </w:p>
    <w:p>
      <w:pPr>
        <w:spacing w:after="80"/>
      </w:pPr>
      <w:r>
        <w:rPr>
          <w:rFonts w:ascii="游ゴシック" w:hAnsi="游ゴシック" w:eastAsia="游ゴシック"/>
          <w:b w:val="0"/>
          <w:sz w:val="21"/>
        </w:rPr>
      </w:r>
    </w:p>
    <w:p>
      <w:pPr>
        <w:spacing w:after="80"/>
      </w:pPr>
      <w:r>
        <w:rPr>
          <w:rFonts w:ascii="游ゴシック" w:hAnsi="游ゴシック" w:eastAsia="游ゴシック"/>
          <w:b/>
          <w:sz w:val="21"/>
        </w:rPr>
        <w:t>(2) H01「年齢調整済要介護認定率」の採用系列</w:t>
      </w:r>
    </w:p>
    <w:p>
      <w:pPr>
        <w:spacing w:after="80"/>
      </w:pPr>
      <w:r>
        <w:rPr>
          <w:rFonts w:ascii="游ゴシック" w:hAnsi="游ゴシック" w:eastAsia="游ゴシック"/>
          <w:b w:val="0"/>
          <w:sz w:val="19"/>
        </w:rPr>
        <w:t>見える化システムには調整済み認定率が2系列あり、これまで基準値としてきた18.4％は【注目する地域のみ】の系列で、北海道・全国と比較できません。</w:t>
      </w:r>
    </w:p>
    <w:tbl>
      <w:tblPr>
        <w:tblStyle w:val="TableGrid"/>
        <w:tblW w:type="auto" w:w="0"/>
        <w:jc w:val="center"/>
        <w:tblLook w:firstColumn="1" w:firstRow="1" w:lastColumn="0" w:lastRow="0" w:noHBand="0" w:noVBand="1" w:val="04A0"/>
      </w:tblPr>
      <w:tblGrid>
        <w:gridCol w:w="3400"/>
        <w:gridCol w:w="3400"/>
        <w:gridCol w:w="3400"/>
      </w:tblGrid>
      <w:tr>
        <w:tc>
          <w:tcPr>
            <w:tcW w:type="dxa" w:w="2835"/>
          </w:tcPr>
          <w:p>
            <w:r/>
            <w:r>
              <w:rPr>
                <w:rFonts w:ascii="游ゴシック" w:hAnsi="游ゴシック" w:eastAsia="游ゴシック"/>
                <w:b/>
                <w:sz w:val="18"/>
              </w:rPr>
              <w:t>系列</w:t>
            </w:r>
          </w:p>
        </w:tc>
        <w:tc>
          <w:tcPr>
            <w:tcW w:type="dxa" w:w="2268"/>
          </w:tcPr>
          <w:p>
            <w:r/>
            <w:r>
              <w:rPr>
                <w:rFonts w:ascii="游ゴシック" w:hAnsi="游ゴシック" w:eastAsia="游ゴシック"/>
                <w:b/>
                <w:sz w:val="18"/>
              </w:rPr>
              <w:t>令和7年3月末時点</w:t>
            </w:r>
          </w:p>
        </w:tc>
        <w:tc>
          <w:tcPr>
            <w:tcW w:type="dxa" w:w="4082"/>
          </w:tcPr>
          <w:p>
            <w:r/>
            <w:r>
              <w:rPr>
                <w:rFonts w:ascii="游ゴシック" w:hAnsi="游ゴシック" w:eastAsia="游ゴシック"/>
                <w:b/>
                <w:sz w:val="18"/>
              </w:rPr>
              <w:t>他地域との比較</w:t>
            </w:r>
          </w:p>
        </w:tc>
      </w:tr>
      <w:tr>
        <w:tc>
          <w:tcPr>
            <w:tcW w:type="dxa" w:w="2835"/>
          </w:tcPr>
          <w:p>
            <w:r/>
            <w:r>
              <w:rPr>
                <w:rFonts w:ascii="游ゴシック" w:hAnsi="游ゴシック" w:eastAsia="游ゴシック"/>
                <w:sz w:val="18"/>
              </w:rPr>
              <w:t>【注目する地域のみ】</w:t>
            </w:r>
          </w:p>
        </w:tc>
        <w:tc>
          <w:tcPr>
            <w:tcW w:type="dxa" w:w="2268"/>
          </w:tcPr>
          <w:p>
            <w:r/>
            <w:r>
              <w:rPr>
                <w:rFonts w:ascii="游ゴシック" w:hAnsi="游ゴシック" w:eastAsia="游ゴシック"/>
                <w:sz w:val="18"/>
              </w:rPr>
              <w:t>18.4％</w:t>
            </w:r>
          </w:p>
        </w:tc>
        <w:tc>
          <w:tcPr>
            <w:tcW w:type="dxa" w:w="4082"/>
          </w:tcPr>
          <w:p>
            <w:r/>
            <w:r>
              <w:rPr>
                <w:rFonts w:ascii="游ゴシック" w:hAnsi="游ゴシック" w:eastAsia="游ゴシック"/>
                <w:sz w:val="18"/>
              </w:rPr>
              <w:t>不可（圏域内の時系列・3町別のみ）</w:t>
            </w:r>
          </w:p>
        </w:tc>
      </w:tr>
      <w:tr>
        <w:tc>
          <w:tcPr>
            <w:tcW w:type="dxa" w:w="2835"/>
          </w:tcPr>
          <w:p>
            <w:r/>
            <w:r>
              <w:rPr>
                <w:rFonts w:ascii="游ゴシック" w:hAnsi="游ゴシック" w:eastAsia="游ゴシック"/>
                <w:sz w:val="18"/>
              </w:rPr>
              <w:t>【他地域と比較】</w:t>
            </w:r>
          </w:p>
        </w:tc>
        <w:tc>
          <w:tcPr>
            <w:tcW w:type="dxa" w:w="2268"/>
          </w:tcPr>
          <w:p>
            <w:r/>
            <w:r>
              <w:rPr>
                <w:rFonts w:ascii="游ゴシック" w:hAnsi="游ゴシック" w:eastAsia="游ゴシック"/>
                <w:sz w:val="18"/>
              </w:rPr>
              <w:t>16.7％</w:t>
            </w:r>
          </w:p>
        </w:tc>
        <w:tc>
          <w:tcPr>
            <w:tcW w:type="dxa" w:w="4082"/>
          </w:tcPr>
          <w:p>
            <w:r/>
            <w:r>
              <w:rPr>
                <w:rFonts w:ascii="游ゴシック" w:hAnsi="游ゴシック" w:eastAsia="游ゴシック"/>
                <w:sz w:val="18"/>
              </w:rPr>
              <w:t>可（北海道・全国と比較可能）</w:t>
            </w:r>
          </w:p>
        </w:tc>
      </w:tr>
    </w:tbl>
    <w:p>
      <w:pPr>
        <w:spacing w:after="80"/>
      </w:pPr>
      <w:r>
        <w:rPr>
          <w:rFonts w:ascii="游ゴシック" w:hAnsi="游ゴシック" w:eastAsia="游ゴシック"/>
          <w:b w:val="0"/>
          <w:sz w:val="19"/>
        </w:rPr>
        <w:t>KPI定義書の運用定義では「圏域、3町、北海道、全国」で集計することとしており、北海道・全国との比較を行う場合は【他地域と比較】系列16.7％の採用が整合的です。</w:t>
      </w:r>
    </w:p>
    <w:p>
      <w:pPr>
        <w:spacing w:after="80"/>
      </w:pPr>
      <w:r>
        <w:rPr>
          <w:rFonts w:ascii="游ゴシック" w:hAnsi="游ゴシック" w:eastAsia="游ゴシック"/>
          <w:b w:val="0"/>
          <w:sz w:val="19"/>
        </w:rPr>
        <w:t>なお基準時点も「令和7年度」ではなく「令和7年3月末時点（令和6年度末）」が正確です。</w:t>
      </w:r>
    </w:p>
    <w:p>
      <w:pPr>
        <w:spacing w:after="80"/>
      </w:pPr>
      <w:r>
        <w:rPr>
          <w:rFonts w:ascii="游ゴシック" w:hAnsi="游ゴシック" w:eastAsia="游ゴシック"/>
          <w:b w:val="0"/>
          <w:sz w:val="19"/>
        </w:rPr>
        <w:t>→ 採用系列：　□【他地域と比較】16.7％　□【注目する地域のみ】18.4％（比較対象を圏域内に限定）</w:t>
      </w:r>
    </w:p>
    <w:p>
      <w:pPr>
        <w:spacing w:after="80"/>
      </w:pPr>
      <w:r>
        <w:rPr>
          <w:rFonts w:ascii="游ゴシック" w:hAnsi="游ゴシック" w:eastAsia="游ゴシック"/>
          <w:b w:val="0"/>
          <w:sz w:val="21"/>
        </w:rPr>
      </w:r>
    </w:p>
    <w:p>
      <w:pPr>
        <w:spacing w:after="80"/>
      </w:pPr>
      <w:r>
        <w:rPr>
          <w:rFonts w:ascii="游ゴシック" w:hAnsi="游ゴシック" w:eastAsia="游ゴシック"/>
          <w:b/>
          <w:sz w:val="21"/>
        </w:rPr>
        <w:t>(3) 人口統計の基準の統一</w:t>
      </w:r>
    </w:p>
    <w:p>
      <w:pPr>
        <w:spacing w:after="80"/>
      </w:pPr>
      <w:r>
        <w:rPr>
          <w:rFonts w:ascii="游ゴシック" w:hAnsi="游ゴシック" w:eastAsia="游ゴシック"/>
          <w:b w:val="0"/>
          <w:sz w:val="19"/>
        </w:rPr>
        <w:t>第9期計画の人口・高齢化率は住民基本台帳（各年10月1日）ですが、素案第6章の推計と見える化データは国勢調査＋社人研推計です。同じ令和5年でも次のとおり差が生じます。</w:t>
      </w:r>
    </w:p>
    <w:tbl>
      <w:tblPr>
        <w:tblStyle w:val="TableGrid"/>
        <w:tblW w:type="auto" w:w="0"/>
        <w:jc w:val="center"/>
        <w:tblLook w:firstColumn="1" w:firstRow="1" w:lastColumn="0" w:lastRow="0" w:noHBand="0" w:noVBand="1" w:val="04A0"/>
      </w:tblPr>
      <w:tblGrid>
        <w:gridCol w:w="2550"/>
        <w:gridCol w:w="2550"/>
        <w:gridCol w:w="2550"/>
        <w:gridCol w:w="2550"/>
      </w:tblGrid>
      <w:tr>
        <w:tc>
          <w:tcPr>
            <w:tcW w:type="dxa" w:w="3402"/>
          </w:tcPr>
          <w:p>
            <w:r/>
            <w:r>
              <w:rPr>
                <w:rFonts w:ascii="游ゴシック" w:hAnsi="游ゴシック" w:eastAsia="游ゴシック"/>
                <w:b/>
                <w:sz w:val="18"/>
              </w:rPr>
              <w:t>基準</w:t>
            </w:r>
          </w:p>
        </w:tc>
        <w:tc>
          <w:tcPr>
            <w:tcW w:type="dxa" w:w="1928"/>
          </w:tcPr>
          <w:p>
            <w:r/>
            <w:r>
              <w:rPr>
                <w:rFonts w:ascii="游ゴシック" w:hAnsi="游ゴシック" w:eastAsia="游ゴシック"/>
                <w:b/>
                <w:sz w:val="18"/>
              </w:rPr>
              <w:t>総人口</w:t>
            </w:r>
          </w:p>
        </w:tc>
        <w:tc>
          <w:tcPr>
            <w:tcW w:type="dxa" w:w="1928"/>
          </w:tcPr>
          <w:p>
            <w:r/>
            <w:r>
              <w:rPr>
                <w:rFonts w:ascii="游ゴシック" w:hAnsi="游ゴシック" w:eastAsia="游ゴシック"/>
                <w:b/>
                <w:sz w:val="18"/>
              </w:rPr>
              <w:t>65歳以上</w:t>
            </w:r>
          </w:p>
        </w:tc>
        <w:tc>
          <w:tcPr>
            <w:tcW w:type="dxa" w:w="1928"/>
          </w:tcPr>
          <w:p>
            <w:r/>
            <w:r>
              <w:rPr>
                <w:rFonts w:ascii="游ゴシック" w:hAnsi="游ゴシック" w:eastAsia="游ゴシック"/>
                <w:b/>
                <w:sz w:val="18"/>
              </w:rPr>
              <w:t>高齢化率</w:t>
            </w:r>
          </w:p>
        </w:tc>
      </w:tr>
      <w:tr>
        <w:tc>
          <w:tcPr>
            <w:tcW w:type="dxa" w:w="3402"/>
          </w:tcPr>
          <w:p>
            <w:r/>
            <w:r>
              <w:rPr>
                <w:rFonts w:ascii="游ゴシック" w:hAnsi="游ゴシック" w:eastAsia="游ゴシック"/>
                <w:sz w:val="18"/>
              </w:rPr>
              <w:t>住民基本台帳（第9期計画）</w:t>
            </w:r>
          </w:p>
        </w:tc>
        <w:tc>
          <w:tcPr>
            <w:tcW w:type="dxa" w:w="1928"/>
          </w:tcPr>
          <w:p>
            <w:r/>
            <w:r>
              <w:rPr>
                <w:rFonts w:ascii="游ゴシック" w:hAnsi="游ゴシック" w:eastAsia="游ゴシック"/>
                <w:sz w:val="18"/>
              </w:rPr>
              <w:t>27,887人</w:t>
            </w:r>
          </w:p>
        </w:tc>
        <w:tc>
          <w:tcPr>
            <w:tcW w:type="dxa" w:w="1928"/>
          </w:tcPr>
          <w:p>
            <w:r/>
            <w:r>
              <w:rPr>
                <w:rFonts w:ascii="游ゴシック" w:hAnsi="游ゴシック" w:eastAsia="游ゴシック"/>
                <w:sz w:val="18"/>
              </w:rPr>
              <w:t>9,191人</w:t>
            </w:r>
          </w:p>
        </w:tc>
        <w:tc>
          <w:tcPr>
            <w:tcW w:type="dxa" w:w="1928"/>
          </w:tcPr>
          <w:p>
            <w:r/>
            <w:r>
              <w:rPr>
                <w:rFonts w:ascii="游ゴシック" w:hAnsi="游ゴシック" w:eastAsia="游ゴシック"/>
                <w:sz w:val="18"/>
              </w:rPr>
              <w:t>33.0％</w:t>
            </w:r>
          </w:p>
        </w:tc>
      </w:tr>
      <w:tr>
        <w:tc>
          <w:tcPr>
            <w:tcW w:type="dxa" w:w="3402"/>
          </w:tcPr>
          <w:p>
            <w:r/>
            <w:r>
              <w:rPr>
                <w:rFonts w:ascii="游ゴシック" w:hAnsi="游ゴシック" w:eastAsia="游ゴシック"/>
                <w:sz w:val="18"/>
              </w:rPr>
              <w:t>国勢調査＋社人研（見える化）</w:t>
            </w:r>
          </w:p>
        </w:tc>
        <w:tc>
          <w:tcPr>
            <w:tcW w:type="dxa" w:w="1928"/>
          </w:tcPr>
          <w:p>
            <w:r/>
            <w:r>
              <w:rPr>
                <w:rFonts w:ascii="游ゴシック" w:hAnsi="游ゴシック" w:eastAsia="游ゴシック"/>
                <w:sz w:val="18"/>
              </w:rPr>
              <w:t>27,505人</w:t>
            </w:r>
          </w:p>
        </w:tc>
        <w:tc>
          <w:tcPr>
            <w:tcW w:type="dxa" w:w="1928"/>
          </w:tcPr>
          <w:p>
            <w:r/>
            <w:r>
              <w:rPr>
                <w:rFonts w:ascii="游ゴシック" w:hAnsi="游ゴシック" w:eastAsia="游ゴシック"/>
                <w:sz w:val="18"/>
              </w:rPr>
              <w:t>9,369人</w:t>
            </w:r>
          </w:p>
        </w:tc>
        <w:tc>
          <w:tcPr>
            <w:tcW w:type="dxa" w:w="1928"/>
          </w:tcPr>
          <w:p>
            <w:r/>
            <w:r>
              <w:rPr>
                <w:rFonts w:ascii="游ゴシック" w:hAnsi="游ゴシック" w:eastAsia="游ゴシック"/>
                <w:sz w:val="18"/>
              </w:rPr>
              <w:t>34.1％</w:t>
            </w:r>
          </w:p>
        </w:tc>
      </w:tr>
      <w:tr>
        <w:tc>
          <w:tcPr>
            <w:tcW w:type="dxa" w:w="3402"/>
          </w:tcPr>
          <w:p>
            <w:r/>
            <w:r>
              <w:rPr>
                <w:rFonts w:ascii="游ゴシック" w:hAnsi="游ゴシック" w:eastAsia="游ゴシック"/>
                <w:sz w:val="18"/>
              </w:rPr>
              <w:t>差</w:t>
            </w:r>
          </w:p>
        </w:tc>
        <w:tc>
          <w:tcPr>
            <w:tcW w:type="dxa" w:w="1928"/>
          </w:tcPr>
          <w:p>
            <w:r/>
            <w:r>
              <w:rPr>
                <w:rFonts w:ascii="游ゴシック" w:hAnsi="游ゴシック" w:eastAsia="游ゴシック"/>
                <w:sz w:val="18"/>
              </w:rPr>
              <w:t>▲382人</w:t>
            </w:r>
          </w:p>
        </w:tc>
        <w:tc>
          <w:tcPr>
            <w:tcW w:type="dxa" w:w="1928"/>
          </w:tcPr>
          <w:p>
            <w:r/>
            <w:r>
              <w:rPr>
                <w:rFonts w:ascii="游ゴシック" w:hAnsi="游ゴシック" w:eastAsia="游ゴシック"/>
                <w:sz w:val="18"/>
              </w:rPr>
              <w:t>＋178人</w:t>
            </w:r>
          </w:p>
        </w:tc>
        <w:tc>
          <w:tcPr>
            <w:tcW w:type="dxa" w:w="1928"/>
          </w:tcPr>
          <w:p>
            <w:r/>
            <w:r>
              <w:rPr>
                <w:rFonts w:ascii="游ゴシック" w:hAnsi="游ゴシック" w:eastAsia="游ゴシック"/>
                <w:sz w:val="18"/>
              </w:rPr>
              <w:t>＋1.1ポイント</w:t>
            </w:r>
          </w:p>
        </w:tc>
      </w:tr>
    </w:tbl>
    <w:p>
      <w:pPr>
        <w:spacing w:after="80"/>
      </w:pPr>
      <w:r>
        <w:rPr>
          <w:rFonts w:ascii="游ゴシック" w:hAnsi="游ゴシック" w:eastAsia="游ゴシック"/>
          <w:b w:val="0"/>
          <w:sz w:val="19"/>
        </w:rPr>
        <w:t>さらに検証の結果、第9期計画の将来推計は社人研推計から次のとおり乖離しており、特に東川町で乖離が拡大することが判明いたしました。</w:t>
      </w:r>
    </w:p>
    <w:tbl>
      <w:tblPr>
        <w:tblStyle w:val="TableGrid"/>
        <w:tblW w:type="auto" w:w="0"/>
        <w:jc w:val="center"/>
        <w:tblLook w:firstColumn="1" w:firstRow="1" w:lastColumn="0" w:lastRow="0" w:noHBand="0" w:noVBand="1" w:val="04A0"/>
      </w:tblPr>
      <w:tblGrid>
        <w:gridCol w:w="2040"/>
        <w:gridCol w:w="2040"/>
        <w:gridCol w:w="2040"/>
        <w:gridCol w:w="2040"/>
        <w:gridCol w:w="2040"/>
      </w:tblGrid>
      <w:tr>
        <w:tc>
          <w:tcPr>
            <w:tcW w:type="dxa" w:w="2835"/>
          </w:tcPr>
          <w:p>
            <w:r/>
            <w:r>
              <w:rPr>
                <w:rFonts w:ascii="游ゴシック" w:hAnsi="游ゴシック" w:eastAsia="游ゴシック"/>
                <w:b/>
                <w:sz w:val="18"/>
              </w:rPr>
              <w:t>区分</w:t>
            </w:r>
          </w:p>
        </w:tc>
        <w:tc>
          <w:tcPr>
            <w:tcW w:type="dxa" w:w="1701"/>
          </w:tcPr>
          <w:p>
            <w:r/>
            <w:r>
              <w:rPr>
                <w:rFonts w:ascii="游ゴシック" w:hAnsi="游ゴシック" w:eastAsia="游ゴシック"/>
                <w:b/>
                <w:sz w:val="18"/>
              </w:rPr>
              <w:t>令和8年</w:t>
            </w:r>
          </w:p>
        </w:tc>
        <w:tc>
          <w:tcPr>
            <w:tcW w:type="dxa" w:w="1701"/>
          </w:tcPr>
          <w:p>
            <w:r/>
            <w:r>
              <w:rPr>
                <w:rFonts w:ascii="游ゴシック" w:hAnsi="游ゴシック" w:eastAsia="游ゴシック"/>
                <w:b/>
                <w:sz w:val="18"/>
              </w:rPr>
              <w:t>令和12年</w:t>
            </w:r>
          </w:p>
        </w:tc>
        <w:tc>
          <w:tcPr>
            <w:tcW w:type="dxa" w:w="1701"/>
          </w:tcPr>
          <w:p>
            <w:r/>
            <w:r>
              <w:rPr>
                <w:rFonts w:ascii="游ゴシック" w:hAnsi="游ゴシック" w:eastAsia="游ゴシック"/>
                <w:b/>
                <w:sz w:val="18"/>
              </w:rPr>
              <w:t>令和22年</w:t>
            </w:r>
          </w:p>
        </w:tc>
        <w:tc>
          <w:tcPr>
            <w:tcW w:type="dxa" w:w="1701"/>
          </w:tcPr>
          <w:p>
            <w:r/>
            <w:r>
              <w:rPr>
                <w:rFonts w:ascii="游ゴシック" w:hAnsi="游ゴシック" w:eastAsia="游ゴシック"/>
                <w:b/>
                <w:sz w:val="18"/>
              </w:rPr>
              <w:t>令和32年</w:t>
            </w:r>
          </w:p>
        </w:tc>
      </w:tr>
      <w:tr>
        <w:tc>
          <w:tcPr>
            <w:tcW w:type="dxa" w:w="2835"/>
          </w:tcPr>
          <w:p>
            <w:r/>
            <w:r>
              <w:rPr>
                <w:rFonts w:ascii="游ゴシック" w:hAnsi="游ゴシック" w:eastAsia="游ゴシック"/>
                <w:sz w:val="18"/>
              </w:rPr>
              <w:t>広域計（計画／社人研）</w:t>
            </w:r>
          </w:p>
        </w:tc>
        <w:tc>
          <w:tcPr>
            <w:tcW w:type="dxa" w:w="1701"/>
          </w:tcPr>
          <w:p>
            <w:r/>
            <w:r>
              <w:rPr>
                <w:rFonts w:ascii="游ゴシック" w:hAnsi="游ゴシック" w:eastAsia="游ゴシック"/>
                <w:sz w:val="18"/>
              </w:rPr>
              <w:t>＋2.1％</w:t>
            </w:r>
          </w:p>
        </w:tc>
        <w:tc>
          <w:tcPr>
            <w:tcW w:type="dxa" w:w="1701"/>
          </w:tcPr>
          <w:p>
            <w:r/>
            <w:r>
              <w:rPr>
                <w:rFonts w:ascii="游ゴシック" w:hAnsi="游ゴシック" w:eastAsia="游ゴシック"/>
                <w:sz w:val="18"/>
              </w:rPr>
              <w:t>＋3.1％</w:t>
            </w:r>
          </w:p>
        </w:tc>
        <w:tc>
          <w:tcPr>
            <w:tcW w:type="dxa" w:w="1701"/>
          </w:tcPr>
          <w:p>
            <w:r/>
            <w:r>
              <w:rPr>
                <w:rFonts w:ascii="游ゴシック" w:hAnsi="游ゴシック" w:eastAsia="游ゴシック"/>
                <w:sz w:val="18"/>
              </w:rPr>
              <w:t>＋4.8％</w:t>
            </w:r>
          </w:p>
        </w:tc>
        <w:tc>
          <w:tcPr>
            <w:tcW w:type="dxa" w:w="1701"/>
          </w:tcPr>
          <w:p>
            <w:r/>
            <w:r>
              <w:rPr>
                <w:rFonts w:ascii="游ゴシック" w:hAnsi="游ゴシック" w:eastAsia="游ゴシック"/>
                <w:sz w:val="18"/>
              </w:rPr>
              <w:t>＋5.1％</w:t>
            </w:r>
          </w:p>
        </w:tc>
      </w:tr>
      <w:tr>
        <w:tc>
          <w:tcPr>
            <w:tcW w:type="dxa" w:w="2835"/>
          </w:tcPr>
          <w:p>
            <w:r/>
            <w:r>
              <w:rPr>
                <w:rFonts w:ascii="游ゴシック" w:hAnsi="游ゴシック" w:eastAsia="游ゴシック"/>
                <w:sz w:val="18"/>
              </w:rPr>
              <w:t>東川町</w:t>
            </w:r>
          </w:p>
        </w:tc>
        <w:tc>
          <w:tcPr>
            <w:tcW w:type="dxa" w:w="1701"/>
          </w:tcPr>
          <w:p>
            <w:r/>
            <w:r>
              <w:rPr>
                <w:rFonts w:ascii="游ゴシック" w:hAnsi="游ゴシック" w:eastAsia="游ゴシック"/>
                <w:sz w:val="18"/>
              </w:rPr>
              <w:t>＋6.9％</w:t>
            </w:r>
          </w:p>
        </w:tc>
        <w:tc>
          <w:tcPr>
            <w:tcW w:type="dxa" w:w="1701"/>
          </w:tcPr>
          <w:p>
            <w:r/>
            <w:r>
              <w:rPr>
                <w:rFonts w:ascii="游ゴシック" w:hAnsi="游ゴシック" w:eastAsia="游ゴシック"/>
                <w:sz w:val="18"/>
              </w:rPr>
              <w:t>＋10.7％</w:t>
            </w:r>
          </w:p>
        </w:tc>
        <w:tc>
          <w:tcPr>
            <w:tcW w:type="dxa" w:w="1701"/>
          </w:tcPr>
          <w:p>
            <w:r/>
            <w:r>
              <w:rPr>
                <w:rFonts w:ascii="游ゴシック" w:hAnsi="游ゴシック" w:eastAsia="游ゴシック"/>
                <w:sz w:val="18"/>
              </w:rPr>
              <w:t>＋18.5％</w:t>
            </w:r>
          </w:p>
        </w:tc>
        <w:tc>
          <w:tcPr>
            <w:tcW w:type="dxa" w:w="1701"/>
          </w:tcPr>
          <w:p>
            <w:r/>
            <w:r>
              <w:rPr>
                <w:rFonts w:ascii="游ゴシック" w:hAnsi="游ゴシック" w:eastAsia="游ゴシック"/>
                <w:sz w:val="18"/>
              </w:rPr>
              <w:t>＋21.5％</w:t>
            </w:r>
          </w:p>
        </w:tc>
      </w:tr>
      <w:tr>
        <w:tc>
          <w:tcPr>
            <w:tcW w:type="dxa" w:w="2835"/>
          </w:tcPr>
          <w:p>
            <w:r/>
            <w:r>
              <w:rPr>
                <w:rFonts w:ascii="游ゴシック" w:hAnsi="游ゴシック" w:eastAsia="游ゴシック"/>
                <w:sz w:val="18"/>
              </w:rPr>
              <w:t>美瑛町</w:t>
            </w:r>
          </w:p>
        </w:tc>
        <w:tc>
          <w:tcPr>
            <w:tcW w:type="dxa" w:w="1701"/>
          </w:tcPr>
          <w:p>
            <w:r/>
            <w:r>
              <w:rPr>
                <w:rFonts w:ascii="游ゴシック" w:hAnsi="游ゴシック" w:eastAsia="游ゴシック"/>
                <w:sz w:val="18"/>
              </w:rPr>
              <w:t>＋3.1％</w:t>
            </w:r>
          </w:p>
        </w:tc>
        <w:tc>
          <w:tcPr>
            <w:tcW w:type="dxa" w:w="1701"/>
          </w:tcPr>
          <w:p>
            <w:r/>
            <w:r>
              <w:rPr>
                <w:rFonts w:ascii="游ゴシック" w:hAnsi="游ゴシック" w:eastAsia="游ゴシック"/>
                <w:sz w:val="18"/>
              </w:rPr>
              <w:t>＋3.2％</w:t>
            </w:r>
          </w:p>
        </w:tc>
        <w:tc>
          <w:tcPr>
            <w:tcW w:type="dxa" w:w="1701"/>
          </w:tcPr>
          <w:p>
            <w:r/>
            <w:r>
              <w:rPr>
                <w:rFonts w:ascii="游ゴシック" w:hAnsi="游ゴシック" w:eastAsia="游ゴシック"/>
                <w:sz w:val="18"/>
              </w:rPr>
              <w:t>＋2.9％</w:t>
            </w:r>
          </w:p>
        </w:tc>
        <w:tc>
          <w:tcPr>
            <w:tcW w:type="dxa" w:w="1701"/>
          </w:tcPr>
          <w:p>
            <w:r/>
            <w:r>
              <w:rPr>
                <w:rFonts w:ascii="游ゴシック" w:hAnsi="游ゴシック" w:eastAsia="游ゴシック"/>
                <w:sz w:val="18"/>
              </w:rPr>
              <w:t>＋2.2％</w:t>
            </w:r>
          </w:p>
        </w:tc>
      </w:tr>
      <w:tr>
        <w:tc>
          <w:tcPr>
            <w:tcW w:type="dxa" w:w="2835"/>
          </w:tcPr>
          <w:p>
            <w:r/>
            <w:r>
              <w:rPr>
                <w:rFonts w:ascii="游ゴシック" w:hAnsi="游ゴシック" w:eastAsia="游ゴシック"/>
                <w:sz w:val="18"/>
              </w:rPr>
              <w:t>東神楽町</w:t>
            </w:r>
          </w:p>
        </w:tc>
        <w:tc>
          <w:tcPr>
            <w:tcW w:type="dxa" w:w="1701"/>
          </w:tcPr>
          <w:p>
            <w:r/>
            <w:r>
              <w:rPr>
                <w:rFonts w:ascii="游ゴシック" w:hAnsi="游ゴシック" w:eastAsia="游ゴシック"/>
                <w:sz w:val="18"/>
              </w:rPr>
              <w:t>▲2.7％</w:t>
            </w:r>
          </w:p>
        </w:tc>
        <w:tc>
          <w:tcPr>
            <w:tcW w:type="dxa" w:w="1701"/>
          </w:tcPr>
          <w:p>
            <w:r/>
            <w:r>
              <w:rPr>
                <w:rFonts w:ascii="游ゴシック" w:hAnsi="游ゴシック" w:eastAsia="游ゴシック"/>
                <w:sz w:val="18"/>
              </w:rPr>
              <w:t>▲3.3％</w:t>
            </w:r>
          </w:p>
        </w:tc>
        <w:tc>
          <w:tcPr>
            <w:tcW w:type="dxa" w:w="1701"/>
          </w:tcPr>
          <w:p>
            <w:r/>
            <w:r>
              <w:rPr>
                <w:rFonts w:ascii="游ゴシック" w:hAnsi="游ゴシック" w:eastAsia="游ゴシック"/>
                <w:sz w:val="18"/>
              </w:rPr>
              <w:t>▲5.2％</w:t>
            </w:r>
          </w:p>
        </w:tc>
        <w:tc>
          <w:tcPr>
            <w:tcW w:type="dxa" w:w="1701"/>
          </w:tcPr>
          <w:p>
            <w:r/>
            <w:r>
              <w:rPr>
                <w:rFonts w:ascii="游ゴシック" w:hAnsi="游ゴシック" w:eastAsia="游ゴシック"/>
                <w:sz w:val="18"/>
              </w:rPr>
              <w:t>▲7.0％</w:t>
            </w:r>
          </w:p>
        </w:tc>
      </w:tr>
    </w:tbl>
    <w:p>
      <w:pPr>
        <w:spacing w:after="80"/>
      </w:pPr>
      <w:r>
        <w:rPr>
          <w:rFonts w:ascii="游ゴシック" w:hAnsi="游ゴシック" w:eastAsia="游ゴシック"/>
          <w:b w:val="0"/>
          <w:sz w:val="19"/>
        </w:rPr>
        <w:t>第9期計画の本文は東川町について「下方修正した」と注記しておりますが、修正後もなお令和22年で1,409人（18.5％）の差がございます。第6章の推計と現状分析の基準を揃える観点から、国勢調査・社人研ベースへの統一を推奨いたします。</w:t>
      </w:r>
    </w:p>
    <w:p>
      <w:pPr>
        <w:spacing w:after="80"/>
      </w:pPr>
      <w:r>
        <w:rPr>
          <w:rFonts w:ascii="游ゴシック" w:hAnsi="游ゴシック" w:eastAsia="游ゴシック"/>
          <w:b w:val="0"/>
          <w:sz w:val="19"/>
        </w:rPr>
        <w:t>→ 採用基準：　□国勢調査・社人研（推奨）　□住民基本台帳　□両論併記</w:t>
      </w:r>
    </w:p>
    <w:p>
      <w:pPr>
        <w:spacing w:after="80"/>
      </w:pPr>
      <w:r>
        <w:rPr>
          <w:rFonts w:ascii="游ゴシック" w:hAnsi="游ゴシック" w:eastAsia="游ゴシック"/>
          <w:b w:val="0"/>
          <w:sz w:val="21"/>
        </w:rPr>
      </w:r>
    </w:p>
    <w:p>
      <w:pPr>
        <w:spacing w:after="80"/>
      </w:pPr>
      <w:r>
        <w:rPr>
          <w:rFonts w:ascii="游ゴシック" w:hAnsi="游ゴシック" w:eastAsia="游ゴシック"/>
          <w:b/>
          <w:sz w:val="21"/>
        </w:rPr>
        <w:t>(4) 第10期の基本目標の名称</w:t>
      </w:r>
    </w:p>
    <w:p>
      <w:pPr>
        <w:spacing w:after="80"/>
      </w:pPr>
      <w:r>
        <w:rPr>
          <w:rFonts w:ascii="游ゴシック" w:hAnsi="游ゴシック" w:eastAsia="游ゴシック"/>
          <w:b w:val="0"/>
          <w:sz w:val="19"/>
        </w:rPr>
        <w:t>素案では第4章に第10期の名称案、第5章に第9期の名称が併存しております。第9期からの継続評価を優先するか、第10期の重点を前面に出すかのご判断が必要です。</w:t>
      </w:r>
    </w:p>
    <w:tbl>
      <w:tblPr>
        <w:tblStyle w:val="TableGrid"/>
        <w:tblW w:type="auto" w:w="0"/>
        <w:jc w:val="center"/>
        <w:tblLook w:firstColumn="1" w:firstRow="1" w:lastColumn="0" w:lastRow="0" w:noHBand="0" w:noVBand="1" w:val="04A0"/>
      </w:tblPr>
      <w:tblGrid>
        <w:gridCol w:w="3400"/>
        <w:gridCol w:w="3400"/>
        <w:gridCol w:w="3400"/>
      </w:tblGrid>
      <w:tr>
        <w:tc>
          <w:tcPr>
            <w:tcW w:type="dxa" w:w="680"/>
          </w:tcPr>
          <w:p>
            <w:r/>
            <w:r>
              <w:rPr>
                <w:rFonts w:ascii="游ゴシック" w:hAnsi="游ゴシック" w:eastAsia="游ゴシック"/>
                <w:b/>
                <w:sz w:val="18"/>
              </w:rPr>
              <w:t>区分</w:t>
            </w:r>
          </w:p>
        </w:tc>
        <w:tc>
          <w:tcPr>
            <w:tcW w:type="dxa" w:w="4252"/>
          </w:tcPr>
          <w:p>
            <w:r/>
            <w:r>
              <w:rPr>
                <w:rFonts w:ascii="游ゴシック" w:hAnsi="游ゴシック" w:eastAsia="游ゴシック"/>
                <w:b/>
                <w:sz w:val="18"/>
              </w:rPr>
              <w:t>第9期の基本目標（継続案）</w:t>
            </w:r>
          </w:p>
        </w:tc>
        <w:tc>
          <w:tcPr>
            <w:tcW w:type="dxa" w:w="4252"/>
          </w:tcPr>
          <w:p>
            <w:r/>
            <w:r>
              <w:rPr>
                <w:rFonts w:ascii="游ゴシック" w:hAnsi="游ゴシック" w:eastAsia="游ゴシック"/>
                <w:b/>
                <w:sz w:val="18"/>
              </w:rPr>
              <w:t>第10期の基本目標（変更案）</w:t>
            </w:r>
          </w:p>
        </w:tc>
      </w:tr>
      <w:tr>
        <w:tc>
          <w:tcPr>
            <w:tcW w:type="dxa" w:w="680"/>
          </w:tcPr>
          <w:p>
            <w:r/>
            <w:r>
              <w:rPr>
                <w:rFonts w:ascii="游ゴシック" w:hAnsi="游ゴシック" w:eastAsia="游ゴシック"/>
                <w:sz w:val="18"/>
              </w:rPr>
              <w:t>1</w:t>
            </w:r>
          </w:p>
        </w:tc>
        <w:tc>
          <w:tcPr>
            <w:tcW w:type="dxa" w:w="4252"/>
          </w:tcPr>
          <w:p>
            <w:r/>
            <w:r>
              <w:rPr>
                <w:rFonts w:ascii="游ゴシック" w:hAnsi="游ゴシック" w:eastAsia="游ゴシック"/>
                <w:sz w:val="18"/>
              </w:rPr>
              <w:t>地域包括ケアシステムの深化・推進</w:t>
            </w:r>
          </w:p>
        </w:tc>
        <w:tc>
          <w:tcPr>
            <w:tcW w:type="dxa" w:w="4252"/>
          </w:tcPr>
          <w:p>
            <w:r/>
            <w:r>
              <w:rPr>
                <w:rFonts w:ascii="游ゴシック" w:hAnsi="游ゴシック" w:eastAsia="游ゴシック"/>
                <w:sz w:val="18"/>
              </w:rPr>
              <w:t>地域包括ケア・相談・医療介護連携</w:t>
            </w:r>
          </w:p>
        </w:tc>
      </w:tr>
      <w:tr>
        <w:tc>
          <w:tcPr>
            <w:tcW w:type="dxa" w:w="680"/>
          </w:tcPr>
          <w:p>
            <w:r/>
            <w:r>
              <w:rPr>
                <w:rFonts w:ascii="游ゴシック" w:hAnsi="游ゴシック" w:eastAsia="游ゴシック"/>
                <w:sz w:val="18"/>
              </w:rPr>
              <w:t>2</w:t>
            </w:r>
          </w:p>
        </w:tc>
        <w:tc>
          <w:tcPr>
            <w:tcW w:type="dxa" w:w="4252"/>
          </w:tcPr>
          <w:p>
            <w:r/>
            <w:r>
              <w:rPr>
                <w:rFonts w:ascii="游ゴシック" w:hAnsi="游ゴシック" w:eastAsia="游ゴシック"/>
                <w:sz w:val="18"/>
              </w:rPr>
              <w:t>地域包括ケアシステムを進める地域づくり</w:t>
            </w:r>
          </w:p>
        </w:tc>
        <w:tc>
          <w:tcPr>
            <w:tcW w:type="dxa" w:w="4252"/>
          </w:tcPr>
          <w:p>
            <w:r/>
            <w:r>
              <w:rPr>
                <w:rFonts w:ascii="游ゴシック" w:hAnsi="游ゴシック" w:eastAsia="游ゴシック"/>
                <w:sz w:val="18"/>
              </w:rPr>
              <w:t>介護予防・生活支援・認知症・家族支援</w:t>
            </w:r>
          </w:p>
        </w:tc>
      </w:tr>
      <w:tr>
        <w:tc>
          <w:tcPr>
            <w:tcW w:type="dxa" w:w="680"/>
          </w:tcPr>
          <w:p>
            <w:r/>
            <w:r>
              <w:rPr>
                <w:rFonts w:ascii="游ゴシック" w:hAnsi="游ゴシック" w:eastAsia="游ゴシック"/>
                <w:sz w:val="18"/>
              </w:rPr>
              <w:t>3</w:t>
            </w:r>
          </w:p>
        </w:tc>
        <w:tc>
          <w:tcPr>
            <w:tcW w:type="dxa" w:w="4252"/>
          </w:tcPr>
          <w:p>
            <w:r/>
            <w:r>
              <w:rPr>
                <w:rFonts w:ascii="游ゴシック" w:hAnsi="游ゴシック" w:eastAsia="游ゴシック"/>
                <w:sz w:val="18"/>
              </w:rPr>
              <w:t>自立支援、介護予防、重度化防止の推進</w:t>
            </w:r>
          </w:p>
        </w:tc>
        <w:tc>
          <w:tcPr>
            <w:tcW w:type="dxa" w:w="4252"/>
          </w:tcPr>
          <w:p>
            <w:r/>
            <w:r>
              <w:rPr>
                <w:rFonts w:ascii="游ゴシック" w:hAnsi="游ゴシック" w:eastAsia="游ゴシック"/>
                <w:sz w:val="18"/>
              </w:rPr>
              <w:t>持続可能なサービス提供・住まい</w:t>
            </w:r>
          </w:p>
        </w:tc>
      </w:tr>
      <w:tr>
        <w:tc>
          <w:tcPr>
            <w:tcW w:type="dxa" w:w="680"/>
          </w:tcPr>
          <w:p>
            <w:r/>
            <w:r>
              <w:rPr>
                <w:rFonts w:ascii="游ゴシック" w:hAnsi="游ゴシック" w:eastAsia="游ゴシック"/>
                <w:sz w:val="18"/>
              </w:rPr>
              <w:t>4</w:t>
            </w:r>
          </w:p>
        </w:tc>
        <w:tc>
          <w:tcPr>
            <w:tcW w:type="dxa" w:w="4252"/>
          </w:tcPr>
          <w:p>
            <w:r/>
            <w:r>
              <w:rPr>
                <w:rFonts w:ascii="游ゴシック" w:hAnsi="游ゴシック" w:eastAsia="游ゴシック"/>
                <w:sz w:val="18"/>
              </w:rPr>
              <w:t>サービス基盤、人的基盤の整備</w:t>
            </w:r>
          </w:p>
        </w:tc>
        <w:tc>
          <w:tcPr>
            <w:tcW w:type="dxa" w:w="4252"/>
          </w:tcPr>
          <w:p>
            <w:r/>
            <w:r>
              <w:rPr>
                <w:rFonts w:ascii="游ゴシック" w:hAnsi="游ゴシック" w:eastAsia="游ゴシック"/>
                <w:sz w:val="18"/>
              </w:rPr>
              <w:t>介護人材・生産性・質・経営支援</w:t>
            </w:r>
          </w:p>
        </w:tc>
      </w:tr>
      <w:tr>
        <w:tc>
          <w:tcPr>
            <w:tcW w:type="dxa" w:w="680"/>
          </w:tcPr>
          <w:p>
            <w:r/>
            <w:r>
              <w:rPr>
                <w:rFonts w:ascii="游ゴシック" w:hAnsi="游ゴシック" w:eastAsia="游ゴシック"/>
                <w:sz w:val="18"/>
              </w:rPr>
              <w:t>5</w:t>
            </w:r>
          </w:p>
        </w:tc>
        <w:tc>
          <w:tcPr>
            <w:tcW w:type="dxa" w:w="4252"/>
          </w:tcPr>
          <w:p>
            <w:r/>
            <w:r>
              <w:rPr>
                <w:rFonts w:ascii="游ゴシック" w:hAnsi="游ゴシック" w:eastAsia="游ゴシック"/>
                <w:sz w:val="18"/>
              </w:rPr>
              <w:t>災害や感染症対策に係る体制整備</w:t>
            </w:r>
          </w:p>
        </w:tc>
        <w:tc>
          <w:tcPr>
            <w:tcW w:type="dxa" w:w="4252"/>
          </w:tcPr>
          <w:p>
            <w:r/>
            <w:r>
              <w:rPr>
                <w:rFonts w:ascii="游ゴシック" w:hAnsi="游ゴシック" w:eastAsia="游ゴシック"/>
                <w:sz w:val="18"/>
              </w:rPr>
              <w:t>保険運営・レジリエンス・PDCA</w:t>
            </w:r>
          </w:p>
        </w:tc>
      </w:tr>
    </w:tbl>
    <w:p>
      <w:pPr>
        <w:spacing w:after="80"/>
      </w:pPr>
      <w:r>
        <w:rPr>
          <w:rFonts w:ascii="游ゴシック" w:hAnsi="游ゴシック" w:eastAsia="游ゴシック"/>
          <w:b w:val="0"/>
          <w:sz w:val="19"/>
        </w:rPr>
        <w:t>なお第9期計画は施策を3か所に掲載しており、それぞれ数が異なります（第4章第2節19施策、第4章第3節の体系図15施策、第5章本文18施策＋基本目標5）。第10期では体系図と本文の施策数を一致させます。</w:t>
      </w:r>
    </w:p>
    <w:p>
      <w:pPr>
        <w:spacing w:after="80"/>
      </w:pPr>
      <w:r>
        <w:rPr>
          <w:rFonts w:ascii="游ゴシック" w:hAnsi="游ゴシック" w:eastAsia="游ゴシック"/>
          <w:b w:val="0"/>
          <w:sz w:val="19"/>
        </w:rPr>
        <w:t>→ 採用：　□第9期名称を継続　□第10期名称案へ変更　□一部変更（　　　　　　　　　）</w:t>
      </w:r>
    </w:p>
    <w:p>
      <w:pPr>
        <w:spacing w:after="80"/>
      </w:pPr>
      <w:r>
        <w:rPr>
          <w:rFonts w:ascii="游ゴシック" w:hAnsi="游ゴシック" w:eastAsia="游ゴシック"/>
          <w:b w:val="0"/>
          <w:sz w:val="21"/>
        </w:rPr>
      </w:r>
    </w:p>
    <w:p>
      <w:pPr>
        <w:spacing w:after="80"/>
      </w:pPr>
      <w:r>
        <w:rPr>
          <w:rFonts w:ascii="游ゴシック" w:hAnsi="游ゴシック" w:eastAsia="游ゴシック"/>
          <w:b/>
          <w:sz w:val="21"/>
        </w:rPr>
        <w:t>(5) 日常生活圏域の設定　【新規】</w:t>
      </w:r>
    </w:p>
    <w:p>
      <w:pPr>
        <w:spacing w:after="80"/>
      </w:pPr>
      <w:r>
        <w:rPr>
          <w:rFonts w:ascii="游ゴシック" w:hAnsi="游ゴシック" w:eastAsia="游ゴシック"/>
          <w:b w:val="0"/>
          <w:sz w:val="19"/>
        </w:rPr>
        <w:t>第9期計画は6圏域（東川町1・美瑛町4・東神楽町1）を設定しておりますが、圏域間の人口規模に著しい偏りがございます。また3町の高齢者福祉計画には、いずれも圏域の記載がございません。</w:t>
      </w:r>
    </w:p>
    <w:tbl>
      <w:tblPr>
        <w:tblStyle w:val="TableGrid"/>
        <w:tblW w:type="auto" w:w="0"/>
        <w:jc w:val="center"/>
        <w:tblLook w:firstColumn="1" w:firstRow="1" w:lastColumn="0" w:lastRow="0" w:noHBand="0" w:noVBand="1" w:val="04A0"/>
      </w:tblPr>
      <w:tblGrid>
        <w:gridCol w:w="2550"/>
        <w:gridCol w:w="2550"/>
        <w:gridCol w:w="2550"/>
        <w:gridCol w:w="2550"/>
      </w:tblGrid>
      <w:tr>
        <w:tc>
          <w:tcPr>
            <w:tcW w:type="dxa" w:w="3402"/>
          </w:tcPr>
          <w:p>
            <w:r/>
            <w:r>
              <w:rPr>
                <w:rFonts w:ascii="游ゴシック" w:hAnsi="游ゴシック" w:eastAsia="游ゴシック"/>
                <w:b/>
                <w:sz w:val="18"/>
              </w:rPr>
              <w:t>圏域</w:t>
            </w:r>
          </w:p>
        </w:tc>
        <w:tc>
          <w:tcPr>
            <w:tcW w:type="dxa" w:w="1928"/>
          </w:tcPr>
          <w:p>
            <w:r/>
            <w:r>
              <w:rPr>
                <w:rFonts w:ascii="游ゴシック" w:hAnsi="游ゴシック" w:eastAsia="游ゴシック"/>
                <w:b/>
                <w:sz w:val="18"/>
              </w:rPr>
              <w:t>人口</w:t>
            </w:r>
          </w:p>
        </w:tc>
        <w:tc>
          <w:tcPr>
            <w:tcW w:type="dxa" w:w="1928"/>
          </w:tcPr>
          <w:p>
            <w:r/>
            <w:r>
              <w:rPr>
                <w:rFonts w:ascii="游ゴシック" w:hAnsi="游ゴシック" w:eastAsia="游ゴシック"/>
                <w:b/>
                <w:sz w:val="18"/>
              </w:rPr>
              <w:t>高齢者人口</w:t>
            </w:r>
          </w:p>
        </w:tc>
        <w:tc>
          <w:tcPr>
            <w:tcW w:type="dxa" w:w="1928"/>
          </w:tcPr>
          <w:p>
            <w:r/>
            <w:r>
              <w:rPr>
                <w:rFonts w:ascii="游ゴシック" w:hAnsi="游ゴシック" w:eastAsia="游ゴシック"/>
                <w:b/>
                <w:sz w:val="18"/>
              </w:rPr>
              <w:t>高齢化率</w:t>
            </w:r>
          </w:p>
        </w:tc>
      </w:tr>
      <w:tr>
        <w:tc>
          <w:tcPr>
            <w:tcW w:type="dxa" w:w="3402"/>
          </w:tcPr>
          <w:p>
            <w:r/>
            <w:r>
              <w:rPr>
                <w:rFonts w:ascii="游ゴシック" w:hAnsi="游ゴシック" w:eastAsia="游ゴシック"/>
                <w:sz w:val="18"/>
              </w:rPr>
              <w:t>東川町</w:t>
            </w:r>
          </w:p>
        </w:tc>
        <w:tc>
          <w:tcPr>
            <w:tcW w:type="dxa" w:w="1928"/>
          </w:tcPr>
          <w:p>
            <w:r/>
            <w:r>
              <w:rPr>
                <w:rFonts w:ascii="游ゴシック" w:hAnsi="游ゴシック" w:eastAsia="游ゴシック"/>
                <w:sz w:val="18"/>
              </w:rPr>
              <w:t>8,558人</w:t>
            </w:r>
          </w:p>
        </w:tc>
        <w:tc>
          <w:tcPr>
            <w:tcW w:type="dxa" w:w="1928"/>
          </w:tcPr>
          <w:p>
            <w:r/>
            <w:r>
              <w:rPr>
                <w:rFonts w:ascii="游ゴシック" w:hAnsi="游ゴシック" w:eastAsia="游ゴシック"/>
                <w:sz w:val="18"/>
              </w:rPr>
              <w:t>2,683人</w:t>
            </w:r>
          </w:p>
        </w:tc>
        <w:tc>
          <w:tcPr>
            <w:tcW w:type="dxa" w:w="1928"/>
          </w:tcPr>
          <w:p>
            <w:r/>
            <w:r>
              <w:rPr>
                <w:rFonts w:ascii="游ゴシック" w:hAnsi="游ゴシック" w:eastAsia="游ゴシック"/>
                <w:sz w:val="18"/>
              </w:rPr>
              <w:t>31.4％</w:t>
            </w:r>
          </w:p>
        </w:tc>
      </w:tr>
      <w:tr>
        <w:tc>
          <w:tcPr>
            <w:tcW w:type="dxa" w:w="3402"/>
          </w:tcPr>
          <w:p>
            <w:r/>
            <w:r>
              <w:rPr>
                <w:rFonts w:ascii="游ゴシック" w:hAnsi="游ゴシック" w:eastAsia="游ゴシック"/>
                <w:sz w:val="18"/>
              </w:rPr>
              <w:t>美瑛町　旭・北西地区</w:t>
            </w:r>
          </w:p>
        </w:tc>
        <w:tc>
          <w:tcPr>
            <w:tcW w:type="dxa" w:w="1928"/>
          </w:tcPr>
          <w:p>
            <w:r/>
            <w:r>
              <w:rPr>
                <w:rFonts w:ascii="游ゴシック" w:hAnsi="游ゴシック" w:eastAsia="游ゴシック"/>
                <w:sz w:val="18"/>
              </w:rPr>
              <w:t>684人</w:t>
            </w:r>
          </w:p>
        </w:tc>
        <w:tc>
          <w:tcPr>
            <w:tcW w:type="dxa" w:w="1928"/>
          </w:tcPr>
          <w:p>
            <w:r/>
            <w:r>
              <w:rPr>
                <w:rFonts w:ascii="游ゴシック" w:hAnsi="游ゴシック" w:eastAsia="游ゴシック"/>
                <w:sz w:val="18"/>
              </w:rPr>
              <w:t>308人</w:t>
            </w:r>
          </w:p>
        </w:tc>
        <w:tc>
          <w:tcPr>
            <w:tcW w:type="dxa" w:w="1928"/>
          </w:tcPr>
          <w:p>
            <w:r/>
            <w:r>
              <w:rPr>
                <w:rFonts w:ascii="游ゴシック" w:hAnsi="游ゴシック" w:eastAsia="游ゴシック"/>
                <w:sz w:val="18"/>
              </w:rPr>
              <w:t>45.0％</w:t>
            </w:r>
          </w:p>
        </w:tc>
      </w:tr>
      <w:tr>
        <w:tc>
          <w:tcPr>
            <w:tcW w:type="dxa" w:w="3402"/>
          </w:tcPr>
          <w:p>
            <w:r/>
            <w:r>
              <w:rPr>
                <w:rFonts w:ascii="游ゴシック" w:hAnsi="游ゴシック" w:eastAsia="游ゴシック"/>
                <w:sz w:val="18"/>
              </w:rPr>
              <w:t>美瑛町　美馬牛地区</w:t>
            </w:r>
          </w:p>
        </w:tc>
        <w:tc>
          <w:tcPr>
            <w:tcW w:type="dxa" w:w="1928"/>
          </w:tcPr>
          <w:p>
            <w:r/>
            <w:r>
              <w:rPr>
                <w:rFonts w:ascii="游ゴシック" w:hAnsi="游ゴシック" w:eastAsia="游ゴシック"/>
                <w:sz w:val="18"/>
              </w:rPr>
              <w:t>689人</w:t>
            </w:r>
          </w:p>
        </w:tc>
        <w:tc>
          <w:tcPr>
            <w:tcW w:type="dxa" w:w="1928"/>
          </w:tcPr>
          <w:p>
            <w:r/>
            <w:r>
              <w:rPr>
                <w:rFonts w:ascii="游ゴシック" w:hAnsi="游ゴシック" w:eastAsia="游ゴシック"/>
                <w:sz w:val="18"/>
              </w:rPr>
              <w:t>288人</w:t>
            </w:r>
          </w:p>
        </w:tc>
        <w:tc>
          <w:tcPr>
            <w:tcW w:type="dxa" w:w="1928"/>
          </w:tcPr>
          <w:p>
            <w:r/>
            <w:r>
              <w:rPr>
                <w:rFonts w:ascii="游ゴシック" w:hAnsi="游ゴシック" w:eastAsia="游ゴシック"/>
                <w:sz w:val="18"/>
              </w:rPr>
              <w:t>41.8％</w:t>
            </w:r>
          </w:p>
        </w:tc>
      </w:tr>
      <w:tr>
        <w:tc>
          <w:tcPr>
            <w:tcW w:type="dxa" w:w="3402"/>
          </w:tcPr>
          <w:p>
            <w:r/>
            <w:r>
              <w:rPr>
                <w:rFonts w:ascii="游ゴシック" w:hAnsi="游ゴシック" w:eastAsia="游ゴシック"/>
                <w:sz w:val="18"/>
              </w:rPr>
              <w:t>美瑛町　朗根内地区</w:t>
            </w:r>
          </w:p>
        </w:tc>
        <w:tc>
          <w:tcPr>
            <w:tcW w:type="dxa" w:w="1928"/>
          </w:tcPr>
          <w:p>
            <w:r/>
            <w:r>
              <w:rPr>
                <w:rFonts w:ascii="游ゴシック" w:hAnsi="游ゴシック" w:eastAsia="游ゴシック"/>
                <w:sz w:val="18"/>
              </w:rPr>
              <w:t>233人</w:t>
            </w:r>
          </w:p>
        </w:tc>
        <w:tc>
          <w:tcPr>
            <w:tcW w:type="dxa" w:w="1928"/>
          </w:tcPr>
          <w:p>
            <w:r/>
            <w:r>
              <w:rPr>
                <w:rFonts w:ascii="游ゴシック" w:hAnsi="游ゴシック" w:eastAsia="游ゴシック"/>
                <w:sz w:val="18"/>
              </w:rPr>
              <w:t>82人</w:t>
            </w:r>
          </w:p>
        </w:tc>
        <w:tc>
          <w:tcPr>
            <w:tcW w:type="dxa" w:w="1928"/>
          </w:tcPr>
          <w:p>
            <w:r/>
            <w:r>
              <w:rPr>
                <w:rFonts w:ascii="游ゴシック" w:hAnsi="游ゴシック" w:eastAsia="游ゴシック"/>
                <w:sz w:val="18"/>
              </w:rPr>
              <w:t>35.2％</w:t>
            </w:r>
          </w:p>
        </w:tc>
      </w:tr>
      <w:tr>
        <w:tc>
          <w:tcPr>
            <w:tcW w:type="dxa" w:w="3402"/>
          </w:tcPr>
          <w:p>
            <w:r/>
            <w:r>
              <w:rPr>
                <w:rFonts w:ascii="游ゴシック" w:hAnsi="游ゴシック" w:eastAsia="游ゴシック"/>
                <w:sz w:val="18"/>
              </w:rPr>
              <w:t>美瑛町　市街地・周辺地区</w:t>
            </w:r>
          </w:p>
        </w:tc>
        <w:tc>
          <w:tcPr>
            <w:tcW w:type="dxa" w:w="1928"/>
          </w:tcPr>
          <w:p>
            <w:r/>
            <w:r>
              <w:rPr>
                <w:rFonts w:ascii="游ゴシック" w:hAnsi="游ゴシック" w:eastAsia="游ゴシック"/>
                <w:sz w:val="18"/>
              </w:rPr>
              <w:t>7,869人</w:t>
            </w:r>
          </w:p>
        </w:tc>
        <w:tc>
          <w:tcPr>
            <w:tcW w:type="dxa" w:w="1928"/>
          </w:tcPr>
          <w:p>
            <w:r/>
            <w:r>
              <w:rPr>
                <w:rFonts w:ascii="游ゴシック" w:hAnsi="游ゴシック" w:eastAsia="游ゴシック"/>
                <w:sz w:val="18"/>
              </w:rPr>
              <w:t>2,997人</w:t>
            </w:r>
          </w:p>
        </w:tc>
        <w:tc>
          <w:tcPr>
            <w:tcW w:type="dxa" w:w="1928"/>
          </w:tcPr>
          <w:p>
            <w:r/>
            <w:r>
              <w:rPr>
                <w:rFonts w:ascii="游ゴシック" w:hAnsi="游ゴシック" w:eastAsia="游ゴシック"/>
                <w:sz w:val="18"/>
              </w:rPr>
              <w:t>38.1％</w:t>
            </w:r>
          </w:p>
        </w:tc>
      </w:tr>
      <w:tr>
        <w:tc>
          <w:tcPr>
            <w:tcW w:type="dxa" w:w="3402"/>
          </w:tcPr>
          <w:p>
            <w:r/>
            <w:r>
              <w:rPr>
                <w:rFonts w:ascii="游ゴシック" w:hAnsi="游ゴシック" w:eastAsia="游ゴシック"/>
                <w:sz w:val="18"/>
              </w:rPr>
              <w:t>東神楽町</w:t>
            </w:r>
          </w:p>
        </w:tc>
        <w:tc>
          <w:tcPr>
            <w:tcW w:type="dxa" w:w="1928"/>
          </w:tcPr>
          <w:p>
            <w:r/>
            <w:r>
              <w:rPr>
                <w:rFonts w:ascii="游ゴシック" w:hAnsi="游ゴシック" w:eastAsia="游ゴシック"/>
                <w:sz w:val="18"/>
              </w:rPr>
              <w:t>9,854人</w:t>
            </w:r>
          </w:p>
        </w:tc>
        <w:tc>
          <w:tcPr>
            <w:tcW w:type="dxa" w:w="1928"/>
          </w:tcPr>
          <w:p>
            <w:r/>
            <w:r>
              <w:rPr>
                <w:rFonts w:ascii="游ゴシック" w:hAnsi="游ゴシック" w:eastAsia="游ゴシック"/>
                <w:sz w:val="18"/>
              </w:rPr>
              <w:t>2,833人</w:t>
            </w:r>
          </w:p>
        </w:tc>
        <w:tc>
          <w:tcPr>
            <w:tcW w:type="dxa" w:w="1928"/>
          </w:tcPr>
          <w:p>
            <w:r/>
            <w:r>
              <w:rPr>
                <w:rFonts w:ascii="游ゴシック" w:hAnsi="游ゴシック" w:eastAsia="游ゴシック"/>
                <w:sz w:val="18"/>
              </w:rPr>
              <w:t>28.8％</w:t>
            </w:r>
          </w:p>
        </w:tc>
      </w:tr>
    </w:tbl>
    <w:p>
      <w:pPr>
        <w:spacing w:after="80"/>
      </w:pPr>
      <w:r>
        <w:rPr>
          <w:rFonts w:ascii="游ゴシック" w:hAnsi="游ゴシック" w:eastAsia="游ゴシック"/>
          <w:b w:val="0"/>
          <w:sz w:val="19"/>
        </w:rPr>
        <w:t>最小の朗根内地区233人と最大の東神楽町9,854人で42.3倍、美瑛町内でも33.8倍の開きがあり、233人の圏域に独立したサービス基盤を割り当てることは現実的ではありません。統計・分析の単位としての圏域と、基盤整備の単位としての圏域を分ける整理を提案いたします。</w:t>
      </w:r>
    </w:p>
    <w:p>
      <w:pPr>
        <w:spacing w:after="80"/>
      </w:pPr>
      <w:r>
        <w:rPr>
          <w:rFonts w:ascii="游ゴシック" w:hAnsi="游ゴシック" w:eastAsia="游ゴシック"/>
          <w:b w:val="0"/>
          <w:sz w:val="19"/>
        </w:rPr>
        <w:t>→ 第10期の圏域：　□6圏域を維持　□統計単位と整備単位を分ける（推奨）　□圏域数を見直す（　　　圏域）</w:t>
      </w:r>
    </w:p>
    <w:p>
      <w:pPr>
        <w:spacing w:after="80"/>
      </w:pPr>
      <w:r>
        <w:rPr>
          <w:rFonts w:ascii="游ゴシック" w:hAnsi="游ゴシック" w:eastAsia="游ゴシック"/>
          <w:b w:val="0"/>
          <w:sz w:val="21"/>
        </w:rPr>
      </w:r>
    </w:p>
    <w:p>
      <w:pPr>
        <w:spacing w:after="80"/>
      </w:pPr>
      <w:r>
        <w:rPr>
          <w:rFonts w:ascii="游ゴシック" w:hAnsi="游ゴシック" w:eastAsia="游ゴシック"/>
          <w:b/>
          <w:sz w:val="21"/>
        </w:rPr>
        <w:t>(6) 3町の高齢者福祉計画との共通指標の合意　【新規】</w:t>
      </w:r>
    </w:p>
    <w:p>
      <w:pPr>
        <w:spacing w:after="80"/>
      </w:pPr>
      <w:r>
        <w:rPr>
          <w:rFonts w:ascii="游ゴシック" w:hAnsi="游ゴシック" w:eastAsia="游ゴシック"/>
          <w:b w:val="0"/>
          <w:sz w:val="19"/>
        </w:rPr>
        <w:t>3町の第9期高齢者福祉計画を精査したところ、いずれにも数値目標が設定されておりませんでした。広域連合が代表KPIを設定しても、達成手段を担う3町の計画に目標がないため、町段階でのPDCAが機能しない構造となっております。</w:t>
      </w:r>
    </w:p>
    <w:tbl>
      <w:tblPr>
        <w:tblStyle w:val="TableGrid"/>
        <w:tblW w:type="auto" w:w="0"/>
        <w:jc w:val="center"/>
        <w:tblLook w:firstColumn="1" w:firstRow="1" w:lastColumn="0" w:lastRow="0" w:noHBand="0" w:noVBand="1" w:val="04A0"/>
      </w:tblPr>
      <w:tblGrid>
        <w:gridCol w:w="2040"/>
        <w:gridCol w:w="2040"/>
        <w:gridCol w:w="2040"/>
        <w:gridCol w:w="2040"/>
        <w:gridCol w:w="2040"/>
      </w:tblGrid>
      <w:tr>
        <w:tc>
          <w:tcPr>
            <w:tcW w:type="dxa" w:w="2494"/>
          </w:tcPr>
          <w:p>
            <w:r/>
            <w:r>
              <w:rPr>
                <w:rFonts w:ascii="游ゴシック" w:hAnsi="游ゴシック" w:eastAsia="游ゴシック"/>
                <w:b/>
                <w:sz w:val="18"/>
              </w:rPr>
              <w:t>確認項目</w:t>
            </w:r>
          </w:p>
        </w:tc>
        <w:tc>
          <w:tcPr>
            <w:tcW w:type="dxa" w:w="1928"/>
          </w:tcPr>
          <w:p>
            <w:r/>
            <w:r>
              <w:rPr>
                <w:rFonts w:ascii="游ゴシック" w:hAnsi="游ゴシック" w:eastAsia="游ゴシック"/>
                <w:b/>
                <w:sz w:val="18"/>
              </w:rPr>
              <w:t>広域連合</w:t>
            </w:r>
          </w:p>
        </w:tc>
        <w:tc>
          <w:tcPr>
            <w:tcW w:type="dxa" w:w="1928"/>
          </w:tcPr>
          <w:p>
            <w:r/>
            <w:r>
              <w:rPr>
                <w:rFonts w:ascii="游ゴシック" w:hAnsi="游ゴシック" w:eastAsia="游ゴシック"/>
                <w:b/>
                <w:sz w:val="18"/>
              </w:rPr>
              <w:t>東川町</w:t>
            </w:r>
          </w:p>
        </w:tc>
        <w:tc>
          <w:tcPr>
            <w:tcW w:type="dxa" w:w="1701"/>
          </w:tcPr>
          <w:p>
            <w:r/>
            <w:r>
              <w:rPr>
                <w:rFonts w:ascii="游ゴシック" w:hAnsi="游ゴシック" w:eastAsia="游ゴシック"/>
                <w:b/>
                <w:sz w:val="18"/>
              </w:rPr>
              <w:t>美瑛町</w:t>
            </w:r>
          </w:p>
        </w:tc>
        <w:tc>
          <w:tcPr>
            <w:tcW w:type="dxa" w:w="1701"/>
          </w:tcPr>
          <w:p>
            <w:r/>
            <w:r>
              <w:rPr>
                <w:rFonts w:ascii="游ゴシック" w:hAnsi="游ゴシック" w:eastAsia="游ゴシック"/>
                <w:b/>
                <w:sz w:val="18"/>
              </w:rPr>
              <w:t>東神楽町</w:t>
            </w:r>
          </w:p>
        </w:tc>
      </w:tr>
      <w:tr>
        <w:tc>
          <w:tcPr>
            <w:tcW w:type="dxa" w:w="2494"/>
          </w:tcPr>
          <w:p>
            <w:r/>
            <w:r>
              <w:rPr>
                <w:rFonts w:ascii="游ゴシック" w:hAnsi="游ゴシック" w:eastAsia="游ゴシック"/>
                <w:sz w:val="18"/>
              </w:rPr>
              <w:t>数値目標の設定</w:t>
            </w:r>
          </w:p>
        </w:tc>
        <w:tc>
          <w:tcPr>
            <w:tcW w:type="dxa" w:w="1928"/>
          </w:tcPr>
          <w:p>
            <w:r/>
            <w:r>
              <w:rPr>
                <w:rFonts w:ascii="游ゴシック" w:hAnsi="游ゴシック" w:eastAsia="游ゴシック"/>
                <w:sz w:val="18"/>
              </w:rPr>
              <w:t>代表KPI4項目</w:t>
            </w:r>
          </w:p>
        </w:tc>
        <w:tc>
          <w:tcPr>
            <w:tcW w:type="dxa" w:w="1928"/>
          </w:tcPr>
          <w:p>
            <w:r/>
            <w:r>
              <w:rPr>
                <w:rFonts w:ascii="游ゴシック" w:hAnsi="游ゴシック" w:eastAsia="游ゴシック"/>
                <w:sz w:val="18"/>
              </w:rPr>
              <w:t>なし</w:t>
            </w:r>
          </w:p>
        </w:tc>
        <w:tc>
          <w:tcPr>
            <w:tcW w:type="dxa" w:w="1701"/>
          </w:tcPr>
          <w:p>
            <w:r/>
            <w:r>
              <w:rPr>
                <w:rFonts w:ascii="游ゴシック" w:hAnsi="游ゴシック" w:eastAsia="游ゴシック"/>
                <w:sz w:val="18"/>
              </w:rPr>
              <w:t>なし</w:t>
            </w:r>
          </w:p>
        </w:tc>
        <w:tc>
          <w:tcPr>
            <w:tcW w:type="dxa" w:w="1701"/>
          </w:tcPr>
          <w:p>
            <w:r/>
            <w:r>
              <w:rPr>
                <w:rFonts w:ascii="游ゴシック" w:hAnsi="游ゴシック" w:eastAsia="游ゴシック"/>
                <w:sz w:val="18"/>
              </w:rPr>
              <w:t>なし</w:t>
            </w:r>
          </w:p>
        </w:tc>
      </w:tr>
      <w:tr>
        <w:tc>
          <w:tcPr>
            <w:tcW w:type="dxa" w:w="2494"/>
          </w:tcPr>
          <w:p>
            <w:r/>
            <w:r>
              <w:rPr>
                <w:rFonts w:ascii="游ゴシック" w:hAnsi="游ゴシック" w:eastAsia="游ゴシック"/>
                <w:sz w:val="18"/>
              </w:rPr>
              <w:t>広域KPIの検証への参画の明記</w:t>
            </w:r>
          </w:p>
        </w:tc>
        <w:tc>
          <w:tcPr>
            <w:tcW w:type="dxa" w:w="1928"/>
          </w:tcPr>
          <w:p>
            <w:r/>
            <w:r>
              <w:rPr>
                <w:rFonts w:ascii="游ゴシック" w:hAnsi="游ゴシック" w:eastAsia="游ゴシック"/>
                <w:sz w:val="18"/>
              </w:rPr>
              <w:t>年1回以上の点検を規定</w:t>
            </w:r>
          </w:p>
        </w:tc>
        <w:tc>
          <w:tcPr>
            <w:tcW w:type="dxa" w:w="1928"/>
          </w:tcPr>
          <w:p>
            <w:r/>
            <w:r>
              <w:rPr>
                <w:rFonts w:ascii="游ゴシック" w:hAnsi="游ゴシック" w:eastAsia="游ゴシック"/>
                <w:sz w:val="18"/>
              </w:rPr>
              <w:t>あり（一般介護予防事業評価事業）</w:t>
            </w:r>
          </w:p>
        </w:tc>
        <w:tc>
          <w:tcPr>
            <w:tcW w:type="dxa" w:w="1701"/>
          </w:tcPr>
          <w:p>
            <w:r/>
            <w:r>
              <w:rPr>
                <w:rFonts w:ascii="游ゴシック" w:hAnsi="游ゴシック" w:eastAsia="游ゴシック"/>
                <w:sz w:val="18"/>
              </w:rPr>
              <w:t>なし</w:t>
            </w:r>
          </w:p>
        </w:tc>
        <w:tc>
          <w:tcPr>
            <w:tcW w:type="dxa" w:w="1701"/>
          </w:tcPr>
          <w:p>
            <w:r/>
            <w:r>
              <w:rPr>
                <w:rFonts w:ascii="游ゴシック" w:hAnsi="游ゴシック" w:eastAsia="游ゴシック"/>
                <w:sz w:val="18"/>
              </w:rPr>
              <w:t>なし</w:t>
            </w:r>
          </w:p>
        </w:tc>
      </w:tr>
      <w:tr>
        <w:tc>
          <w:tcPr>
            <w:tcW w:type="dxa" w:w="2494"/>
          </w:tcPr>
          <w:p>
            <w:r/>
            <w:r>
              <w:rPr>
                <w:rFonts w:ascii="游ゴシック" w:hAnsi="游ゴシック" w:eastAsia="游ゴシック"/>
                <w:sz w:val="18"/>
              </w:rPr>
              <w:t>日常生活圏域の記載</w:t>
            </w:r>
          </w:p>
        </w:tc>
        <w:tc>
          <w:tcPr>
            <w:tcW w:type="dxa" w:w="1928"/>
          </w:tcPr>
          <w:p>
            <w:r/>
            <w:r>
              <w:rPr>
                <w:rFonts w:ascii="游ゴシック" w:hAnsi="游ゴシック" w:eastAsia="游ゴシック"/>
                <w:sz w:val="18"/>
              </w:rPr>
              <w:t>6圏域を設定</w:t>
            </w:r>
          </w:p>
        </w:tc>
        <w:tc>
          <w:tcPr>
            <w:tcW w:type="dxa" w:w="1928"/>
          </w:tcPr>
          <w:p>
            <w:r/>
            <w:r>
              <w:rPr>
                <w:rFonts w:ascii="游ゴシック" w:hAnsi="游ゴシック" w:eastAsia="游ゴシック"/>
                <w:sz w:val="18"/>
              </w:rPr>
              <w:t>なし</w:t>
            </w:r>
          </w:p>
        </w:tc>
        <w:tc>
          <w:tcPr>
            <w:tcW w:type="dxa" w:w="1701"/>
          </w:tcPr>
          <w:p>
            <w:r/>
            <w:r>
              <w:rPr>
                <w:rFonts w:ascii="游ゴシック" w:hAnsi="游ゴシック" w:eastAsia="游ゴシック"/>
                <w:sz w:val="18"/>
              </w:rPr>
              <w:t>なし</w:t>
            </w:r>
          </w:p>
        </w:tc>
        <w:tc>
          <w:tcPr>
            <w:tcW w:type="dxa" w:w="1701"/>
          </w:tcPr>
          <w:p>
            <w:r/>
            <w:r>
              <w:rPr>
                <w:rFonts w:ascii="游ゴシック" w:hAnsi="游ゴシック" w:eastAsia="游ゴシック"/>
                <w:sz w:val="18"/>
              </w:rPr>
              <w:t>なし</w:t>
            </w:r>
          </w:p>
        </w:tc>
      </w:tr>
      <w:tr>
        <w:tc>
          <w:tcPr>
            <w:tcW w:type="dxa" w:w="2494"/>
          </w:tcPr>
          <w:p>
            <w:r/>
            <w:r>
              <w:rPr>
                <w:rFonts w:ascii="游ゴシック" w:hAnsi="游ゴシック" w:eastAsia="游ゴシック"/>
                <w:sz w:val="18"/>
              </w:rPr>
              <w:t>「フレイル」の記載回数</w:t>
            </w:r>
          </w:p>
        </w:tc>
        <w:tc>
          <w:tcPr>
            <w:tcW w:type="dxa" w:w="1928"/>
          </w:tcPr>
          <w:p>
            <w:r/>
            <w:r>
              <w:rPr>
                <w:rFonts w:ascii="游ゴシック" w:hAnsi="游ゴシック" w:eastAsia="游ゴシック"/>
                <w:sz w:val="18"/>
              </w:rPr>
              <w:t>13回</w:t>
            </w:r>
          </w:p>
        </w:tc>
        <w:tc>
          <w:tcPr>
            <w:tcW w:type="dxa" w:w="1928"/>
          </w:tcPr>
          <w:p>
            <w:r/>
            <w:r>
              <w:rPr>
                <w:rFonts w:ascii="游ゴシック" w:hAnsi="游ゴシック" w:eastAsia="游ゴシック"/>
                <w:sz w:val="18"/>
              </w:rPr>
              <w:t>0回</w:t>
            </w:r>
          </w:p>
        </w:tc>
        <w:tc>
          <w:tcPr>
            <w:tcW w:type="dxa" w:w="1701"/>
          </w:tcPr>
          <w:p>
            <w:r/>
            <w:r>
              <w:rPr>
                <w:rFonts w:ascii="游ゴシック" w:hAnsi="游ゴシック" w:eastAsia="游ゴシック"/>
                <w:sz w:val="18"/>
              </w:rPr>
              <w:t>27回</w:t>
            </w:r>
          </w:p>
        </w:tc>
        <w:tc>
          <w:tcPr>
            <w:tcW w:type="dxa" w:w="1701"/>
          </w:tcPr>
          <w:p>
            <w:r/>
            <w:r>
              <w:rPr>
                <w:rFonts w:ascii="游ゴシック" w:hAnsi="游ゴシック" w:eastAsia="游ゴシック"/>
                <w:sz w:val="18"/>
              </w:rPr>
              <w:t>2回</w:t>
            </w:r>
          </w:p>
        </w:tc>
      </w:tr>
      <w:tr>
        <w:tc>
          <w:tcPr>
            <w:tcW w:type="dxa" w:w="2494"/>
          </w:tcPr>
          <w:p>
            <w:r/>
            <w:r>
              <w:rPr>
                <w:rFonts w:ascii="游ゴシック" w:hAnsi="游ゴシック" w:eastAsia="游ゴシック"/>
                <w:sz w:val="18"/>
              </w:rPr>
              <w:t>「通いの場」の記載回数</w:t>
            </w:r>
          </w:p>
        </w:tc>
        <w:tc>
          <w:tcPr>
            <w:tcW w:type="dxa" w:w="1928"/>
          </w:tcPr>
          <w:p>
            <w:r/>
            <w:r>
              <w:rPr>
                <w:rFonts w:ascii="游ゴシック" w:hAnsi="游ゴシック" w:eastAsia="游ゴシック"/>
                <w:sz w:val="18"/>
              </w:rPr>
              <w:t>16回</w:t>
            </w:r>
          </w:p>
        </w:tc>
        <w:tc>
          <w:tcPr>
            <w:tcW w:type="dxa" w:w="1928"/>
          </w:tcPr>
          <w:p>
            <w:r/>
            <w:r>
              <w:rPr>
                <w:rFonts w:ascii="游ゴシック" w:hAnsi="游ゴシック" w:eastAsia="游ゴシック"/>
                <w:sz w:val="18"/>
              </w:rPr>
              <w:t>2回</w:t>
            </w:r>
          </w:p>
        </w:tc>
        <w:tc>
          <w:tcPr>
            <w:tcW w:type="dxa" w:w="1701"/>
          </w:tcPr>
          <w:p>
            <w:r/>
            <w:r>
              <w:rPr>
                <w:rFonts w:ascii="游ゴシック" w:hAnsi="游ゴシック" w:eastAsia="游ゴシック"/>
                <w:sz w:val="18"/>
              </w:rPr>
              <w:t>1回</w:t>
            </w:r>
          </w:p>
        </w:tc>
        <w:tc>
          <w:tcPr>
            <w:tcW w:type="dxa" w:w="1701"/>
          </w:tcPr>
          <w:p>
            <w:r/>
            <w:r>
              <w:rPr>
                <w:rFonts w:ascii="游ゴシック" w:hAnsi="游ゴシック" w:eastAsia="游ゴシック"/>
                <w:sz w:val="18"/>
              </w:rPr>
              <w:t>3回</w:t>
            </w:r>
          </w:p>
        </w:tc>
      </w:tr>
    </w:tbl>
    <w:p>
      <w:pPr>
        <w:spacing w:after="80"/>
      </w:pPr>
      <w:r>
        <w:rPr>
          <w:rFonts w:ascii="游ゴシック" w:hAnsi="游ゴシック" w:eastAsia="游ゴシック"/>
          <w:b w:val="0"/>
          <w:sz w:val="19"/>
        </w:rPr>
        <w:t>第10期はKPIを16項目に拡張するため、この構造のままでは実行が担保できません。素案 資料2「構成3町との役割分担・共通指標」について3町とご合意いただき、3町の第10期高齢者福祉計画に共通指標を掲載していただくことを提案いたします。</w:t>
      </w:r>
    </w:p>
    <w:p>
      <w:pPr>
        <w:spacing w:after="80"/>
      </w:pPr>
      <w:r>
        <w:rPr>
          <w:rFonts w:ascii="游ゴシック" w:hAnsi="游ゴシック" w:eastAsia="游ゴシック"/>
          <w:b w:val="0"/>
          <w:sz w:val="19"/>
        </w:rPr>
        <w:t>→ 進め方：　□第1回委員会で3町に提案　□事務局から3町へ事前調整　□3町担当課との合同会議を設定　□その他（　　　　　　　　）</w:t>
      </w:r>
    </w:p>
    <w:p>
      <w:pPr>
        <w:spacing w:after="80"/>
      </w:pPr>
      <w:r>
        <w:rPr>
          <w:rFonts w:ascii="游ゴシック" w:hAnsi="游ゴシック" w:eastAsia="游ゴシック"/>
          <w:b w:val="0"/>
          <w:sz w:val="21"/>
        </w:rPr>
      </w:r>
    </w:p>
    <w:p>
      <w:pPr>
        <w:spacing w:after="80"/>
      </w:pPr>
      <w:r>
        <w:rPr>
          <w:rFonts w:ascii="游ゴシック" w:hAnsi="游ゴシック" w:eastAsia="游ゴシック"/>
          <w:b/>
          <w:sz w:val="21"/>
        </w:rPr>
        <w:t>(7) 通いの場参加率の採用系列　【新規・最重要】</w:t>
      </w:r>
    </w:p>
    <w:p>
      <w:pPr>
        <w:spacing w:after="80"/>
      </w:pPr>
      <w:r>
        <w:rPr>
          <w:rFonts w:ascii="游ゴシック" w:hAnsi="游ゴシック" w:eastAsia="游ゴシック"/>
          <w:b w:val="0"/>
          <w:sz w:val="19"/>
        </w:rPr>
        <w:t>第9期計画は代表KPI④について「国が掲げている目標値８％（令和7年度）を参考に、計画最終年度の目標値を設定しました」と記載しております。しかし、国の８％及び北海道の評価指標は、いずれも「介護予防・日常生活支援総合事業の実施状況に関する調査」に基づく参加率であり、大雪の実績は日常生活圏域ニーズ調査における自己申告の割合です。分母・分子の定義が異なります。</w:t>
      </w:r>
    </w:p>
    <w:tbl>
      <w:tblPr>
        <w:tblStyle w:val="TableGrid"/>
        <w:tblW w:type="auto" w:w="0"/>
        <w:jc w:val="center"/>
        <w:tblLook w:firstColumn="1" w:firstRow="1" w:lastColumn="0" w:lastRow="0" w:noHBand="0" w:noVBand="1" w:val="04A0"/>
      </w:tblPr>
      <w:tblGrid>
        <w:gridCol w:w="2550"/>
        <w:gridCol w:w="2550"/>
        <w:gridCol w:w="2550"/>
        <w:gridCol w:w="2550"/>
      </w:tblGrid>
      <w:tr>
        <w:tc>
          <w:tcPr>
            <w:tcW w:type="dxa" w:w="2041"/>
          </w:tcPr>
          <w:p>
            <w:r/>
            <w:r>
              <w:rPr>
                <w:rFonts w:ascii="游ゴシック" w:hAnsi="游ゴシック" w:eastAsia="游ゴシック"/>
                <w:b/>
                <w:sz w:val="18"/>
              </w:rPr>
              <w:t>区分</w:t>
            </w:r>
          </w:p>
        </w:tc>
        <w:tc>
          <w:tcPr>
            <w:tcW w:type="dxa" w:w="3402"/>
          </w:tcPr>
          <w:p>
            <w:r/>
            <w:r>
              <w:rPr>
                <w:rFonts w:ascii="游ゴシック" w:hAnsi="游ゴシック" w:eastAsia="游ゴシック"/>
                <w:b/>
                <w:sz w:val="18"/>
              </w:rPr>
              <w:t>統計</w:t>
            </w:r>
          </w:p>
        </w:tc>
        <w:tc>
          <w:tcPr>
            <w:tcW w:type="dxa" w:w="1814"/>
          </w:tcPr>
          <w:p>
            <w:r/>
            <w:r>
              <w:rPr>
                <w:rFonts w:ascii="游ゴシック" w:hAnsi="游ゴシック" w:eastAsia="游ゴシック"/>
                <w:b/>
                <w:sz w:val="18"/>
              </w:rPr>
              <w:t>基準値</w:t>
            </w:r>
          </w:p>
        </w:tc>
        <w:tc>
          <w:tcPr>
            <w:tcW w:type="dxa" w:w="2608"/>
          </w:tcPr>
          <w:p>
            <w:r/>
            <w:r>
              <w:rPr>
                <w:rFonts w:ascii="游ゴシック" w:hAnsi="游ゴシック" w:eastAsia="游ゴシック"/>
                <w:b/>
                <w:sz w:val="18"/>
              </w:rPr>
              <w:t>目標・実績</w:t>
            </w:r>
          </w:p>
        </w:tc>
      </w:tr>
      <w:tr>
        <w:tc>
          <w:tcPr>
            <w:tcW w:type="dxa" w:w="2041"/>
          </w:tcPr>
          <w:p>
            <w:r/>
            <w:r>
              <w:rPr>
                <w:rFonts w:ascii="游ゴシック" w:hAnsi="游ゴシック" w:eastAsia="游ゴシック"/>
                <w:sz w:val="18"/>
              </w:rPr>
              <w:t>国の目標</w:t>
            </w:r>
          </w:p>
        </w:tc>
        <w:tc>
          <w:tcPr>
            <w:tcW w:type="dxa" w:w="3402"/>
          </w:tcPr>
          <w:p>
            <w:r/>
            <w:r>
              <w:rPr>
                <w:rFonts w:ascii="游ゴシック" w:hAnsi="游ゴシック" w:eastAsia="游ゴシック"/>
                <w:sz w:val="18"/>
              </w:rPr>
              <w:t>総合事業の実施状況に関する調査</w:t>
            </w:r>
          </w:p>
        </w:tc>
        <w:tc>
          <w:tcPr>
            <w:tcW w:type="dxa" w:w="1814"/>
          </w:tcPr>
          <w:p>
            <w:r/>
            <w:r>
              <w:rPr>
                <w:rFonts w:ascii="游ゴシック" w:hAnsi="游ゴシック" w:eastAsia="游ゴシック"/>
                <w:sz w:val="18"/>
              </w:rPr>
              <w:t>―</w:t>
            </w:r>
          </w:p>
        </w:tc>
        <w:tc>
          <w:tcPr>
            <w:tcW w:type="dxa" w:w="2608"/>
          </w:tcPr>
          <w:p>
            <w:r/>
            <w:r>
              <w:rPr>
                <w:rFonts w:ascii="游ゴシック" w:hAnsi="游ゴシック" w:eastAsia="游ゴシック"/>
                <w:sz w:val="18"/>
              </w:rPr>
              <w:t>８％（2025年まで）</w:t>
            </w:r>
          </w:p>
        </w:tc>
      </w:tr>
      <w:tr>
        <w:tc>
          <w:tcPr>
            <w:tcW w:type="dxa" w:w="2041"/>
          </w:tcPr>
          <w:p>
            <w:r/>
            <w:r>
              <w:rPr>
                <w:rFonts w:ascii="游ゴシック" w:hAnsi="游ゴシック" w:eastAsia="游ゴシック"/>
                <w:sz w:val="18"/>
              </w:rPr>
              <w:t>北海道の評価指標</w:t>
            </w:r>
          </w:p>
        </w:tc>
        <w:tc>
          <w:tcPr>
            <w:tcW w:type="dxa" w:w="3402"/>
          </w:tcPr>
          <w:p>
            <w:r/>
            <w:r>
              <w:rPr>
                <w:rFonts w:ascii="游ゴシック" w:hAnsi="游ゴシック" w:eastAsia="游ゴシック"/>
                <w:sz w:val="18"/>
              </w:rPr>
              <w:t>同上</w:t>
            </w:r>
          </w:p>
        </w:tc>
        <w:tc>
          <w:tcPr>
            <w:tcW w:type="dxa" w:w="1814"/>
          </w:tcPr>
          <w:p>
            <w:r/>
            <w:r>
              <w:rPr>
                <w:rFonts w:ascii="游ゴシック" w:hAnsi="游ゴシック" w:eastAsia="游ゴシック"/>
                <w:sz w:val="18"/>
              </w:rPr>
              <w:t>3.94％（R3）</w:t>
            </w:r>
          </w:p>
        </w:tc>
        <w:tc>
          <w:tcPr>
            <w:tcW w:type="dxa" w:w="2608"/>
          </w:tcPr>
          <w:p>
            <w:r/>
            <w:r>
              <w:rPr>
                <w:rFonts w:ascii="游ゴシック" w:hAnsi="游ゴシック" w:eastAsia="游ゴシック"/>
                <w:sz w:val="18"/>
              </w:rPr>
              <w:t>5.37％以上（R8）　※全国はR3 5.53％</w:t>
            </w:r>
          </w:p>
        </w:tc>
      </w:tr>
      <w:tr>
        <w:tc>
          <w:tcPr>
            <w:tcW w:type="dxa" w:w="2041"/>
          </w:tcPr>
          <w:p>
            <w:r/>
            <w:r>
              <w:rPr>
                <w:rFonts w:ascii="游ゴシック" w:hAnsi="游ゴシック" w:eastAsia="游ゴシック"/>
                <w:sz w:val="18"/>
              </w:rPr>
              <w:t>大雪の代表KPI④</w:t>
            </w:r>
          </w:p>
        </w:tc>
        <w:tc>
          <w:tcPr>
            <w:tcW w:type="dxa" w:w="3402"/>
          </w:tcPr>
          <w:p>
            <w:r/>
            <w:r>
              <w:rPr>
                <w:rFonts w:ascii="游ゴシック" w:hAnsi="游ゴシック" w:eastAsia="游ゴシック"/>
                <w:sz w:val="18"/>
              </w:rPr>
              <w:t>日常生活圏域ニーズ調査（自己申告）</w:t>
            </w:r>
          </w:p>
        </w:tc>
        <w:tc>
          <w:tcPr>
            <w:tcW w:type="dxa" w:w="1814"/>
          </w:tcPr>
          <w:p>
            <w:r/>
            <w:r>
              <w:rPr>
                <w:rFonts w:ascii="游ゴシック" w:hAnsi="游ゴシック" w:eastAsia="游ゴシック"/>
                <w:sz w:val="18"/>
              </w:rPr>
              <w:t>7.3％（R4）</w:t>
            </w:r>
          </w:p>
        </w:tc>
        <w:tc>
          <w:tcPr>
            <w:tcW w:type="dxa" w:w="2608"/>
          </w:tcPr>
          <w:p>
            <w:r/>
            <w:r>
              <w:rPr>
                <w:rFonts w:ascii="游ゴシック" w:hAnsi="游ゴシック" w:eastAsia="游ゴシック"/>
                <w:sz w:val="18"/>
              </w:rPr>
              <w:t>10.0％（R8）　実績8.8％（R7）</w:t>
            </w:r>
          </w:p>
        </w:tc>
      </w:tr>
    </w:tbl>
    <w:p>
      <w:pPr>
        <w:spacing w:after="80"/>
      </w:pPr>
      <w:r>
        <w:rPr>
          <w:rFonts w:ascii="游ゴシック" w:hAnsi="游ゴシック" w:eastAsia="游ゴシック"/>
          <w:b w:val="0"/>
          <w:sz w:val="19"/>
        </w:rPr>
        <w:t>第10期基本指針の新別表も、通いの場の把握方法として総合事業の実施状況に関する調査を挙げております。このため、①第9期の評価では「国目標８％を達成」という記述を避けること、②第10期は総合事業調査ベースの参加率を別途把握し、北海道・全国との比較にはそちらを用いること、③H05の合成指標36.0％はニーズ調査ベースであり他地域と比較できない旨を注記すること、を提案いたします。</w:t>
      </w:r>
    </w:p>
    <w:p>
      <w:pPr>
        <w:spacing w:after="80"/>
      </w:pPr>
      <w:r>
        <w:rPr>
          <w:rFonts w:ascii="游ゴシック" w:hAnsi="游ゴシック" w:eastAsia="游ゴシック"/>
          <w:b w:val="0"/>
          <w:sz w:val="19"/>
        </w:rPr>
        <w:t>なお、この統計は見える化システムの指標F4（月1回以上の通いの場の参加率）・F5（参加者数）・F6（箇所数）として整備されており、再出力をご依頼いただければ当方で取得できます（上記３の再出力依頼②）。別途の調査は不要です。</w:t>
      </w:r>
    </w:p>
    <w:p>
      <w:pPr>
        <w:spacing w:after="80"/>
      </w:pPr>
      <w:r>
        <w:rPr>
          <w:rFonts w:ascii="游ゴシック" w:hAnsi="游ゴシック" w:eastAsia="游ゴシック"/>
          <w:b w:val="0"/>
          <w:sz w:val="19"/>
        </w:rPr>
        <w:t>→ 採用系列：　□総合事業調査ベースを主・ニーズ調査ベースを従（推奨）　□ニーズ調査ベースのみ　□両論併記</w:t>
      </w:r>
    </w:p>
    <w:p>
      <w:r>
        <w:br w:type="page"/>
      </w:r>
    </w:p>
    <w:p>
      <w:pPr>
        <w:spacing w:after="120" w:before="200"/>
      </w:pPr>
      <w:r>
        <w:rPr>
          <w:rFonts w:ascii="游ゴシック" w:hAnsi="游ゴシック" w:eastAsia="游ゴシック"/>
          <w:b/>
          <w:sz w:val="24"/>
        </w:rPr>
        <w:t>２　事務局にてご確認いただきたい事項（19件）</w:t>
      </w:r>
    </w:p>
    <w:p>
      <w:pPr>
        <w:spacing w:after="80"/>
      </w:pPr>
      <w:r>
        <w:rPr>
          <w:rFonts w:ascii="游ゴシック" w:hAnsi="游ゴシック" w:eastAsia="游ゴシック"/>
          <w:b w:val="0"/>
          <w:sz w:val="19"/>
        </w:rPr>
        <w:t>回答欄への記入、又は口頭でのご回答いずれでも差し支えありません。</w:t>
      </w:r>
    </w:p>
    <w:tbl>
      <w:tblPr>
        <w:tblStyle w:val="TableGrid"/>
        <w:tblW w:type="auto" w:w="0"/>
        <w:jc w:val="center"/>
        <w:tblLook w:firstColumn="1" w:firstRow="1" w:lastColumn="0" w:lastRow="0" w:noHBand="0" w:noVBand="1" w:val="04A0"/>
      </w:tblPr>
      <w:tblGrid>
        <w:gridCol w:w="2550"/>
        <w:gridCol w:w="2550"/>
        <w:gridCol w:w="2550"/>
        <w:gridCol w:w="2550"/>
      </w:tblGrid>
      <w:tr>
        <w:tc>
          <w:tcPr>
            <w:tcW w:type="dxa" w:w="567"/>
          </w:tcPr>
          <w:p>
            <w:r/>
            <w:r>
              <w:rPr>
                <w:rFonts w:ascii="游ゴシック" w:hAnsi="游ゴシック" w:eastAsia="游ゴシック"/>
                <w:b/>
                <w:sz w:val="18"/>
              </w:rPr>
              <w:t>No.</w:t>
            </w:r>
          </w:p>
        </w:tc>
        <w:tc>
          <w:tcPr>
            <w:tcW w:type="dxa" w:w="2041"/>
          </w:tcPr>
          <w:p>
            <w:r/>
            <w:r>
              <w:rPr>
                <w:rFonts w:ascii="游ゴシック" w:hAnsi="游ゴシック" w:eastAsia="游ゴシック"/>
                <w:b/>
                <w:sz w:val="18"/>
              </w:rPr>
              <w:t>確認事項</w:t>
            </w:r>
          </w:p>
        </w:tc>
        <w:tc>
          <w:tcPr>
            <w:tcW w:type="dxa" w:w="5216"/>
          </w:tcPr>
          <w:p>
            <w:r/>
            <w:r>
              <w:rPr>
                <w:rFonts w:ascii="游ゴシック" w:hAnsi="游ゴシック" w:eastAsia="游ゴシック"/>
                <w:b/>
                <w:sz w:val="18"/>
              </w:rPr>
              <w:t>確認をお願いする内容</w:t>
            </w:r>
          </w:p>
        </w:tc>
        <w:tc>
          <w:tcPr>
            <w:tcW w:type="dxa" w:w="1587"/>
          </w:tcPr>
          <w:p>
            <w:r/>
            <w:r>
              <w:rPr>
                <w:rFonts w:ascii="游ゴシック" w:hAnsi="游ゴシック" w:eastAsia="游ゴシック"/>
                <w:b/>
                <w:sz w:val="18"/>
              </w:rPr>
              <w:t>回答欄</w:t>
            </w:r>
          </w:p>
        </w:tc>
      </w:tr>
      <w:tr>
        <w:tc>
          <w:tcPr>
            <w:tcW w:type="dxa" w:w="567"/>
          </w:tcPr>
          <w:p>
            <w:r/>
            <w:r>
              <w:rPr>
                <w:rFonts w:ascii="游ゴシック" w:hAnsi="游ゴシック" w:eastAsia="游ゴシック"/>
                <w:sz w:val="18"/>
              </w:rPr>
              <w:t>1</w:t>
            </w:r>
          </w:p>
        </w:tc>
        <w:tc>
          <w:tcPr>
            <w:tcW w:type="dxa" w:w="2041"/>
          </w:tcPr>
          <w:p>
            <w:r/>
            <w:r>
              <w:rPr>
                <w:rFonts w:ascii="游ゴシック" w:hAnsi="游ゴシック" w:eastAsia="游ゴシック"/>
                <w:sz w:val="18"/>
              </w:rPr>
              <w:t>施設定員の減少経緯　【新規】</w:t>
            </w:r>
          </w:p>
        </w:tc>
        <w:tc>
          <w:tcPr>
            <w:tcW w:type="dxa" w:w="5216"/>
          </w:tcPr>
          <w:p>
            <w:r/>
            <w:r>
              <w:rPr>
                <w:rFonts w:ascii="游ゴシック" w:hAnsi="游ゴシック" w:eastAsia="游ゴシック"/>
                <w:sz w:val="18"/>
              </w:rPr>
              <w:t>介護老人福祉施設の定員が平成29年度234人から令和2年度160人へ74人減少し、認知症対応型共同生活介護も令和3年度117人から令和4年度99人へ18人減少しております（見える化D25・D26）。休廃止・転換・ユニット縮小など、減少の経緯をご教示ください。第2章の記述と第6章の整備方針の前提となります。</w:t>
            </w:r>
          </w:p>
        </w:tc>
        <w:tc>
          <w:tcPr>
            <w:tcW w:type="dxa" w:w="1587"/>
          </w:tcPr>
          <w:p>
            <w:r/>
            <w:r>
              <w:rPr>
                <w:rFonts w:ascii="游ゴシック" w:hAnsi="游ゴシック" w:eastAsia="游ゴシック"/>
                <w:sz w:val="18"/>
              </w:rPr>
            </w:r>
          </w:p>
        </w:tc>
      </w:tr>
      <w:tr>
        <w:tc>
          <w:tcPr>
            <w:tcW w:type="dxa" w:w="567"/>
          </w:tcPr>
          <w:p>
            <w:r/>
            <w:r>
              <w:rPr>
                <w:rFonts w:ascii="游ゴシック" w:hAnsi="游ゴシック" w:eastAsia="游ゴシック"/>
                <w:sz w:val="18"/>
              </w:rPr>
              <w:t>2</w:t>
            </w:r>
          </w:p>
        </w:tc>
        <w:tc>
          <w:tcPr>
            <w:tcW w:type="dxa" w:w="2041"/>
          </w:tcPr>
          <w:p>
            <w:r/>
            <w:r>
              <w:rPr>
                <w:rFonts w:ascii="游ゴシック" w:hAnsi="游ゴシック" w:eastAsia="游ゴシック"/>
                <w:sz w:val="18"/>
              </w:rPr>
              <w:t>認定を受けて利用していない方の状況　【新規】</w:t>
            </w:r>
          </w:p>
        </w:tc>
        <w:tc>
          <w:tcPr>
            <w:tcW w:type="dxa" w:w="5216"/>
          </w:tcPr>
          <w:p>
            <w:r/>
            <w:r>
              <w:rPr>
                <w:rFonts w:ascii="游ゴシック" w:hAnsi="游ゴシック" w:eastAsia="游ゴシック"/>
                <w:sz w:val="18"/>
              </w:rPr>
              <w:t>令和6年度は認定者1,962人に対し受給者1,458人で、504人（25.7％）が未利用です。介護サービス利用率は平成28年度82.2％から74.3％へ低下しております。更新申請のみで利用に至らない方、入所待機の方、家族介護で対応している方など、実務上把握されている状況をご教示ください。</w:t>
            </w:r>
          </w:p>
        </w:tc>
        <w:tc>
          <w:tcPr>
            <w:tcW w:type="dxa" w:w="1587"/>
          </w:tcPr>
          <w:p>
            <w:r/>
            <w:r>
              <w:rPr>
                <w:rFonts w:ascii="游ゴシック" w:hAnsi="游ゴシック" w:eastAsia="游ゴシック"/>
                <w:sz w:val="18"/>
              </w:rPr>
            </w:r>
          </w:p>
        </w:tc>
      </w:tr>
      <w:tr>
        <w:tc>
          <w:tcPr>
            <w:tcW w:type="dxa" w:w="567"/>
          </w:tcPr>
          <w:p>
            <w:r/>
            <w:r>
              <w:rPr>
                <w:rFonts w:ascii="游ゴシック" w:hAnsi="游ゴシック" w:eastAsia="游ゴシック"/>
                <w:sz w:val="18"/>
              </w:rPr>
              <w:t>3</w:t>
            </w:r>
          </w:p>
        </w:tc>
        <w:tc>
          <w:tcPr>
            <w:tcW w:type="dxa" w:w="2041"/>
          </w:tcPr>
          <w:p>
            <w:r/>
            <w:r>
              <w:rPr>
                <w:rFonts w:ascii="游ゴシック" w:hAnsi="游ゴシック" w:eastAsia="游ゴシック"/>
                <w:sz w:val="18"/>
              </w:rPr>
              <w:t>地域密着型通所介護の給付低下　【新規】</w:t>
            </w:r>
          </w:p>
        </w:tc>
        <w:tc>
          <w:tcPr>
            <w:tcW w:type="dxa" w:w="5216"/>
          </w:tcPr>
          <w:p>
            <w:r/>
            <w:r>
              <w:rPr>
                <w:rFonts w:ascii="游ゴシック" w:hAnsi="游ゴシック" w:eastAsia="游ゴシック"/>
                <w:sz w:val="18"/>
              </w:rPr>
              <w:t>第1号被保険者1人あたり給付月額が平成30年度777円から令和7年度567円へ27.0％低下しております（見える化D13-z）。第9期計画では4施設（東川町1・美瑛町3）で据置きとしておりました。事業所の休廃止・定員縮小の有無をご確認ください。</w:t>
            </w:r>
          </w:p>
        </w:tc>
        <w:tc>
          <w:tcPr>
            <w:tcW w:type="dxa" w:w="1587"/>
          </w:tcPr>
          <w:p>
            <w:r/>
            <w:r>
              <w:rPr>
                <w:rFonts w:ascii="游ゴシック" w:hAnsi="游ゴシック" w:eastAsia="游ゴシック"/>
                <w:sz w:val="18"/>
              </w:rPr>
            </w:r>
          </w:p>
        </w:tc>
      </w:tr>
      <w:tr>
        <w:tc>
          <w:tcPr>
            <w:tcW w:type="dxa" w:w="567"/>
          </w:tcPr>
          <w:p>
            <w:r/>
            <w:r>
              <w:rPr>
                <w:rFonts w:ascii="游ゴシック" w:hAnsi="游ゴシック" w:eastAsia="游ゴシック"/>
                <w:sz w:val="18"/>
              </w:rPr>
              <w:t>4</w:t>
            </w:r>
          </w:p>
        </w:tc>
        <w:tc>
          <w:tcPr>
            <w:tcW w:type="dxa" w:w="2041"/>
          </w:tcPr>
          <w:p>
            <w:r/>
            <w:r>
              <w:rPr>
                <w:rFonts w:ascii="游ゴシック" w:hAnsi="游ゴシック" w:eastAsia="游ゴシック"/>
                <w:sz w:val="18"/>
              </w:rPr>
              <w:t>重度在宅を支えるサービスの整備方針　【新規】</w:t>
            </w:r>
          </w:p>
        </w:tc>
        <w:tc>
          <w:tcPr>
            <w:tcW w:type="dxa" w:w="5216"/>
          </w:tcPr>
          <w:p>
            <w:r/>
            <w:r>
              <w:rPr>
                <w:rFonts w:ascii="游ゴシック" w:hAnsi="游ゴシック" w:eastAsia="游ゴシック"/>
                <w:sz w:val="18"/>
              </w:rPr>
              <w:t>要介護5の在宅・居住系割合が54.6％に達している一方、定期巡回・随時対応型訪問介護看護の給付月額は令和7年度15円、夜間対応型訪問介護と看護小規模多機能型居宅介護は0円です。24時間対応サービスの整備方針、又は訪問介護・訪問看護・小規模多機能での代替方針をご教示ください。</w:t>
            </w:r>
          </w:p>
        </w:tc>
        <w:tc>
          <w:tcPr>
            <w:tcW w:type="dxa" w:w="1587"/>
          </w:tcPr>
          <w:p>
            <w:r/>
            <w:r>
              <w:rPr>
                <w:rFonts w:ascii="游ゴシック" w:hAnsi="游ゴシック" w:eastAsia="游ゴシック"/>
                <w:sz w:val="18"/>
              </w:rPr>
            </w:r>
          </w:p>
        </w:tc>
      </w:tr>
      <w:tr>
        <w:tc>
          <w:tcPr>
            <w:tcW w:type="dxa" w:w="567"/>
          </w:tcPr>
          <w:p>
            <w:r/>
            <w:r>
              <w:rPr>
                <w:rFonts w:ascii="游ゴシック" w:hAnsi="游ゴシック" w:eastAsia="游ゴシック"/>
                <w:sz w:val="18"/>
              </w:rPr>
              <w:t>5</w:t>
            </w:r>
          </w:p>
        </w:tc>
        <w:tc>
          <w:tcPr>
            <w:tcW w:type="dxa" w:w="2041"/>
          </w:tcPr>
          <w:p>
            <w:r/>
            <w:r>
              <w:rPr>
                <w:rFonts w:ascii="游ゴシック" w:hAnsi="游ゴシック" w:eastAsia="游ゴシック"/>
                <w:sz w:val="18"/>
              </w:rPr>
              <w:t>訪問介護の利用強度　【新規】</w:t>
            </w:r>
          </w:p>
        </w:tc>
        <w:tc>
          <w:tcPr>
            <w:tcW w:type="dxa" w:w="5216"/>
          </w:tcPr>
          <w:p>
            <w:r/>
            <w:r>
              <w:rPr>
                <w:rFonts w:ascii="游ゴシック" w:hAnsi="游ゴシック" w:eastAsia="游ゴシック"/>
                <w:sz w:val="18"/>
              </w:rPr>
              <w:t>受給者1人あたり利用回数が令和7年度55.4回で全国29.7回の1.87倍、給付月額133,685円は全国86,541円の1.54倍です。一方、通所介護の給付月額は全国の0.74倍です。訪問介護に偏る要因（通所の送迎距離、事業所の分布、ケアプランの傾向等）をご教示ください。</w:t>
            </w:r>
          </w:p>
        </w:tc>
        <w:tc>
          <w:tcPr>
            <w:tcW w:type="dxa" w:w="1587"/>
          </w:tcPr>
          <w:p>
            <w:r/>
            <w:r>
              <w:rPr>
                <w:rFonts w:ascii="游ゴシック" w:hAnsi="游ゴシック" w:eastAsia="游ゴシック"/>
                <w:sz w:val="18"/>
              </w:rPr>
            </w:r>
          </w:p>
        </w:tc>
      </w:tr>
      <w:tr>
        <w:tc>
          <w:tcPr>
            <w:tcW w:type="dxa" w:w="567"/>
          </w:tcPr>
          <w:p>
            <w:r/>
            <w:r>
              <w:rPr>
                <w:rFonts w:ascii="游ゴシック" w:hAnsi="游ゴシック" w:eastAsia="游ゴシック"/>
                <w:sz w:val="18"/>
              </w:rPr>
              <w:t>6</w:t>
            </w:r>
          </w:p>
        </w:tc>
        <w:tc>
          <w:tcPr>
            <w:tcW w:type="dxa" w:w="2041"/>
          </w:tcPr>
          <w:p>
            <w:r/>
            <w:r>
              <w:rPr>
                <w:rFonts w:ascii="游ゴシック" w:hAnsi="游ゴシック" w:eastAsia="游ゴシック"/>
                <w:sz w:val="18"/>
              </w:rPr>
              <w:t>介護給付費準備基金の残高　【新規】</w:t>
            </w:r>
          </w:p>
        </w:tc>
        <w:tc>
          <w:tcPr>
            <w:tcW w:type="dxa" w:w="5216"/>
          </w:tcPr>
          <w:p>
            <w:r/>
            <w:r>
              <w:rPr>
                <w:rFonts w:ascii="游ゴシック" w:hAnsi="游ゴシック" w:eastAsia="游ゴシック"/>
                <w:sz w:val="18"/>
              </w:rPr>
              <w:t>必要保険料月額は令和6年度6,063円・令和7年度6,352円で、いずれも基準額6,400円を下回っており、2年で約42百万円（概算）の剰余が生じております。第9期計画が予定した取崩40,000,000円の執行状況と基金残高の推移をご教示ください。第10期の保険料試算の前提となります。</w:t>
            </w:r>
          </w:p>
        </w:tc>
        <w:tc>
          <w:tcPr>
            <w:tcW w:type="dxa" w:w="1587"/>
          </w:tcPr>
          <w:p>
            <w:r/>
            <w:r>
              <w:rPr>
                <w:rFonts w:ascii="游ゴシック" w:hAnsi="游ゴシック" w:eastAsia="游ゴシック"/>
                <w:sz w:val="18"/>
              </w:rPr>
            </w:r>
          </w:p>
        </w:tc>
      </w:tr>
      <w:tr>
        <w:tc>
          <w:tcPr>
            <w:tcW w:type="dxa" w:w="567"/>
          </w:tcPr>
          <w:p>
            <w:r/>
            <w:r>
              <w:rPr>
                <w:rFonts w:ascii="游ゴシック" w:hAnsi="游ゴシック" w:eastAsia="游ゴシック"/>
                <w:sz w:val="18"/>
              </w:rPr>
              <w:t>7</w:t>
            </w:r>
          </w:p>
        </w:tc>
        <w:tc>
          <w:tcPr>
            <w:tcW w:type="dxa" w:w="2041"/>
          </w:tcPr>
          <w:p>
            <w:r/>
            <w:r>
              <w:rPr>
                <w:rFonts w:ascii="游ゴシック" w:hAnsi="游ゴシック" w:eastAsia="游ゴシック"/>
                <w:sz w:val="18"/>
              </w:rPr>
              <w:t>調査対象者の範囲</w:t>
            </w:r>
          </w:p>
        </w:tc>
        <w:tc>
          <w:tcPr>
            <w:tcW w:type="dxa" w:w="5216"/>
          </w:tcPr>
          <w:p>
            <w:r/>
            <w:r>
              <w:rPr>
                <w:rFonts w:ascii="游ゴシック" w:hAnsi="游ゴシック" w:eastAsia="游ゴシック"/>
                <w:sz w:val="18"/>
              </w:rPr>
              <w:t>令和7年度 健康とくらしの調査の報告書に「調査対象者に要介護者、要支援者、事業対象者を含んでいる保険者がある」との記述があります。当広域連合が該当するかご確認ください。対象者数の逆算（9,090人－1,984人＝7,106人に対し対象7,121人）からは非認定者が対象と推定されますが、第9期（令和4年）との比較可否に影響します。</w:t>
            </w:r>
          </w:p>
        </w:tc>
        <w:tc>
          <w:tcPr>
            <w:tcW w:type="dxa" w:w="1587"/>
          </w:tcPr>
          <w:p>
            <w:r/>
            <w:r>
              <w:rPr>
                <w:rFonts w:ascii="游ゴシック" w:hAnsi="游ゴシック" w:eastAsia="游ゴシック"/>
                <w:sz w:val="18"/>
              </w:rPr>
            </w:r>
          </w:p>
        </w:tc>
      </w:tr>
      <w:tr>
        <w:tc>
          <w:tcPr>
            <w:tcW w:type="dxa" w:w="567"/>
          </w:tcPr>
          <w:p>
            <w:r/>
            <w:r>
              <w:rPr>
                <w:rFonts w:ascii="游ゴシック" w:hAnsi="游ゴシック" w:eastAsia="游ゴシック"/>
                <w:sz w:val="18"/>
              </w:rPr>
              <w:t>8</w:t>
            </w:r>
          </w:p>
        </w:tc>
        <w:tc>
          <w:tcPr>
            <w:tcW w:type="dxa" w:w="2041"/>
          </w:tcPr>
          <w:p>
            <w:r/>
            <w:r>
              <w:rPr>
                <w:rFonts w:ascii="游ゴシック" w:hAnsi="游ゴシック" w:eastAsia="游ゴシック"/>
                <w:sz w:val="18"/>
              </w:rPr>
              <w:t>在宅介護実態調査の実施予定と回答数</w:t>
            </w:r>
          </w:p>
        </w:tc>
        <w:tc>
          <w:tcPr>
            <w:tcW w:type="dxa" w:w="5216"/>
          </w:tcPr>
          <w:p>
            <w:r/>
            <w:r>
              <w:rPr>
                <w:rFonts w:ascii="游ゴシック" w:hAnsi="游ゴシック" w:eastAsia="游ゴシック"/>
                <w:sz w:val="18"/>
              </w:rPr>
              <w:t>仕様書の対象調査に在宅介護実態調査が含まれておりません。第10期での実施予定の有無をご確認ください。実施されない場合、H07（主介護者の高負担割合）・H08（介護離職懸念）のデータ源を再設計いたします。あわせて第9期の回答数（掲載値から37人と推定）を原票でご確認ください。</w:t>
            </w:r>
          </w:p>
        </w:tc>
        <w:tc>
          <w:tcPr>
            <w:tcW w:type="dxa" w:w="1587"/>
          </w:tcPr>
          <w:p>
            <w:r/>
            <w:r>
              <w:rPr>
                <w:rFonts w:ascii="游ゴシック" w:hAnsi="游ゴシック" w:eastAsia="游ゴシック"/>
                <w:sz w:val="18"/>
              </w:rPr>
            </w:r>
          </w:p>
        </w:tc>
      </w:tr>
      <w:tr>
        <w:tc>
          <w:tcPr>
            <w:tcW w:type="dxa" w:w="567"/>
          </w:tcPr>
          <w:p>
            <w:r/>
            <w:r>
              <w:rPr>
                <w:rFonts w:ascii="游ゴシック" w:hAnsi="游ゴシック" w:eastAsia="游ゴシック"/>
                <w:sz w:val="18"/>
              </w:rPr>
              <w:t>9</w:t>
            </w:r>
          </w:p>
        </w:tc>
        <w:tc>
          <w:tcPr>
            <w:tcW w:type="dxa" w:w="2041"/>
          </w:tcPr>
          <w:p>
            <w:r/>
            <w:r>
              <w:rPr>
                <w:rFonts w:ascii="游ゴシック" w:hAnsi="游ゴシック" w:eastAsia="游ゴシック"/>
                <w:sz w:val="18"/>
              </w:rPr>
              <w:t>地域密着型介護老人福祉施設の定員</w:t>
            </w:r>
          </w:p>
        </w:tc>
        <w:tc>
          <w:tcPr>
            <w:tcW w:type="dxa" w:w="5216"/>
          </w:tcPr>
          <w:p>
            <w:r/>
            <w:r>
              <w:rPr>
                <w:rFonts w:ascii="游ゴシック" w:hAnsi="游ゴシック" w:eastAsia="游ゴシック"/>
                <w:sz w:val="18"/>
              </w:rPr>
              <w:t>見える化D25では平成30年度から令和7年度まで62人ですが、第9期計画の掲載は63人（美瑛町43人＝サテライト特養 燈18人＋美瑛慈光園25人、東神楽町20人＝アゼリアハイツ）です。また美瑛町の計画は「特別養護老人ホーム2か所 利用定員42人/月」としております。定員と月間利用者数の別を含めご教示ください。</w:t>
            </w:r>
          </w:p>
        </w:tc>
        <w:tc>
          <w:tcPr>
            <w:tcW w:type="dxa" w:w="1587"/>
          </w:tcPr>
          <w:p>
            <w:r/>
            <w:r>
              <w:rPr>
                <w:rFonts w:ascii="游ゴシック" w:hAnsi="游ゴシック" w:eastAsia="游ゴシック"/>
                <w:sz w:val="18"/>
              </w:rPr>
            </w:r>
          </w:p>
        </w:tc>
      </w:tr>
      <w:tr>
        <w:tc>
          <w:tcPr>
            <w:tcW w:type="dxa" w:w="567"/>
          </w:tcPr>
          <w:p>
            <w:r/>
            <w:r>
              <w:rPr>
                <w:rFonts w:ascii="游ゴシック" w:hAnsi="游ゴシック" w:eastAsia="游ゴシック"/>
                <w:sz w:val="18"/>
              </w:rPr>
              <w:t>10</w:t>
            </w:r>
          </w:p>
        </w:tc>
        <w:tc>
          <w:tcPr>
            <w:tcW w:type="dxa" w:w="2041"/>
          </w:tcPr>
          <w:p>
            <w:r/>
            <w:r>
              <w:rPr>
                <w:rFonts w:ascii="游ゴシック" w:hAnsi="游ゴシック" w:eastAsia="游ゴシック"/>
                <w:sz w:val="18"/>
              </w:rPr>
              <w:t>高齢夫婦世帯の定義</w:t>
            </w:r>
          </w:p>
        </w:tc>
        <w:tc>
          <w:tcPr>
            <w:tcW w:type="dxa" w:w="5216"/>
          </w:tcPr>
          <w:p>
            <w:r/>
            <w:r>
              <w:rPr>
                <w:rFonts w:ascii="游ゴシック" w:hAnsi="游ゴシック" w:eastAsia="游ゴシック"/>
                <w:sz w:val="18"/>
              </w:rPr>
              <w:t>見える化A8と第9期計画で高齢夫婦世帯数のみ差があります（平成27年82世帯、令和2年177世帯）。一般世帯・高齢者を含む世帯・高齢独居世帯は町別まで完全に一致しております。「高齢夫婦世帯」と「高齢者夫婦世帯」の定義差（夫婦双方が65歳以上か、一方が65歳以上か）についてご確認ください。</w:t>
            </w:r>
          </w:p>
        </w:tc>
        <w:tc>
          <w:tcPr>
            <w:tcW w:type="dxa" w:w="1587"/>
          </w:tcPr>
          <w:p>
            <w:r/>
            <w:r>
              <w:rPr>
                <w:rFonts w:ascii="游ゴシック" w:hAnsi="游ゴシック" w:eastAsia="游ゴシック"/>
                <w:sz w:val="18"/>
              </w:rPr>
            </w:r>
          </w:p>
        </w:tc>
      </w:tr>
      <w:tr>
        <w:tc>
          <w:tcPr>
            <w:tcW w:type="dxa" w:w="567"/>
          </w:tcPr>
          <w:p>
            <w:r/>
            <w:r>
              <w:rPr>
                <w:rFonts w:ascii="游ゴシック" w:hAnsi="游ゴシック" w:eastAsia="游ゴシック"/>
                <w:sz w:val="18"/>
              </w:rPr>
              <w:t>11</w:t>
            </w:r>
          </w:p>
        </w:tc>
        <w:tc>
          <w:tcPr>
            <w:tcW w:type="dxa" w:w="2041"/>
          </w:tcPr>
          <w:p>
            <w:r/>
            <w:r>
              <w:rPr>
                <w:rFonts w:ascii="游ゴシック" w:hAnsi="游ゴシック" w:eastAsia="游ゴシック"/>
                <w:sz w:val="18"/>
              </w:rPr>
              <w:t>給付適正化計画の期数</w:t>
            </w:r>
          </w:p>
        </w:tc>
        <w:tc>
          <w:tcPr>
            <w:tcW w:type="dxa" w:w="5216"/>
          </w:tcPr>
          <w:p>
            <w:r/>
            <w:r>
              <w:rPr>
                <w:rFonts w:ascii="游ゴシック" w:hAnsi="游ゴシック" w:eastAsia="游ゴシック"/>
                <w:sz w:val="18"/>
              </w:rPr>
              <w:t>第9期計画では「第6期給付適正化計画」と記載されております。第10期計画期間に対応するのは第7期という理解でよろしいか、北海道の給付適正化計画の期別に照らしてご確認ください。</w:t>
            </w:r>
          </w:p>
        </w:tc>
        <w:tc>
          <w:tcPr>
            <w:tcW w:type="dxa" w:w="1587"/>
          </w:tcPr>
          <w:p>
            <w:r/>
            <w:r>
              <w:rPr>
                <w:rFonts w:ascii="游ゴシック" w:hAnsi="游ゴシック" w:eastAsia="游ゴシック"/>
                <w:sz w:val="18"/>
              </w:rPr>
            </w:r>
          </w:p>
        </w:tc>
      </w:tr>
      <w:tr>
        <w:tc>
          <w:tcPr>
            <w:tcW w:type="dxa" w:w="567"/>
          </w:tcPr>
          <w:p>
            <w:r/>
            <w:r>
              <w:rPr>
                <w:rFonts w:ascii="游ゴシック" w:hAnsi="游ゴシック" w:eastAsia="游ゴシック"/>
                <w:sz w:val="18"/>
              </w:rPr>
              <w:t>12</w:t>
            </w:r>
          </w:p>
        </w:tc>
        <w:tc>
          <w:tcPr>
            <w:tcW w:type="dxa" w:w="2041"/>
          </w:tcPr>
          <w:p>
            <w:r/>
            <w:r>
              <w:rPr>
                <w:rFonts w:ascii="游ゴシック" w:hAnsi="游ゴシック" w:eastAsia="游ゴシック"/>
                <w:sz w:val="18"/>
              </w:rPr>
              <w:t>給付費の区分定義</w:t>
            </w:r>
          </w:p>
        </w:tc>
        <w:tc>
          <w:tcPr>
            <w:tcW w:type="dxa" w:w="5216"/>
          </w:tcPr>
          <w:p>
            <w:r/>
            <w:r>
              <w:rPr>
                <w:rFonts w:ascii="游ゴシック" w:hAnsi="游ゴシック" w:eastAsia="游ゴシック"/>
                <w:sz w:val="18"/>
              </w:rPr>
              <w:t>自然体推計の総給付費9,267.4百万円について、サービス類型別の内訳（施設2,691.5百万円）と見える化3区分の内訳（施設3,416.0百万円）が異なります。3区分の「施設」に地域密着型介護老人福祉施設が、「居住系」に認知症対応型共同生活介護が含まれ、特定施設は「居宅」に計上されるという理解でよろしいか、原票にてご確認ください。</w:t>
            </w:r>
          </w:p>
        </w:tc>
        <w:tc>
          <w:tcPr>
            <w:tcW w:type="dxa" w:w="1587"/>
          </w:tcPr>
          <w:p>
            <w:r/>
            <w:r>
              <w:rPr>
                <w:rFonts w:ascii="游ゴシック" w:hAnsi="游ゴシック" w:eastAsia="游ゴシック"/>
                <w:sz w:val="18"/>
              </w:rPr>
            </w:r>
          </w:p>
        </w:tc>
      </w:tr>
      <w:tr>
        <w:tc>
          <w:tcPr>
            <w:tcW w:type="dxa" w:w="567"/>
          </w:tcPr>
          <w:p>
            <w:r/>
            <w:r>
              <w:rPr>
                <w:rFonts w:ascii="游ゴシック" w:hAnsi="游ゴシック" w:eastAsia="游ゴシック"/>
                <w:sz w:val="18"/>
              </w:rPr>
              <w:t>13</w:t>
            </w:r>
          </w:p>
        </w:tc>
        <w:tc>
          <w:tcPr>
            <w:tcW w:type="dxa" w:w="2041"/>
          </w:tcPr>
          <w:p>
            <w:r/>
            <w:r>
              <w:rPr>
                <w:rFonts w:ascii="游ゴシック" w:hAnsi="游ゴシック" w:eastAsia="游ゴシック"/>
                <w:sz w:val="18"/>
              </w:rPr>
              <w:t>介護予防支援の指定状況　【新規】</w:t>
            </w:r>
          </w:p>
        </w:tc>
        <w:tc>
          <w:tcPr>
            <w:tcW w:type="dxa" w:w="5216"/>
          </w:tcPr>
          <w:p>
            <w:r/>
            <w:r>
              <w:rPr>
                <w:rFonts w:ascii="游ゴシック" w:hAnsi="游ゴシック" w:eastAsia="游ゴシック"/>
                <w:sz w:val="18"/>
              </w:rPr>
              <w:t>第10期基本指針案は地域包括支援センターと居宅介護支援事業所の連携・役割分担を計画の記載事項としております。要支援者の介護予防ケアマネジメントについて指定を受けた居宅介護支援事業所の数と、3町の地域包括支援センターとの役割分担の現況をご教示ください。</w:t>
            </w:r>
          </w:p>
        </w:tc>
        <w:tc>
          <w:tcPr>
            <w:tcW w:type="dxa" w:w="1587"/>
          </w:tcPr>
          <w:p>
            <w:r/>
            <w:r>
              <w:rPr>
                <w:rFonts w:ascii="游ゴシック" w:hAnsi="游ゴシック" w:eastAsia="游ゴシック"/>
                <w:sz w:val="18"/>
              </w:rPr>
            </w:r>
          </w:p>
        </w:tc>
      </w:tr>
      <w:tr>
        <w:tc>
          <w:tcPr>
            <w:tcW w:type="dxa" w:w="567"/>
          </w:tcPr>
          <w:p>
            <w:r/>
            <w:r>
              <w:rPr>
                <w:rFonts w:ascii="游ゴシック" w:hAnsi="游ゴシック" w:eastAsia="游ゴシック"/>
                <w:sz w:val="18"/>
              </w:rPr>
              <w:t>14</w:t>
            </w:r>
          </w:p>
        </w:tc>
        <w:tc>
          <w:tcPr>
            <w:tcW w:type="dxa" w:w="2041"/>
          </w:tcPr>
          <w:p>
            <w:r/>
            <w:r>
              <w:rPr>
                <w:rFonts w:ascii="游ゴシック" w:hAnsi="游ゴシック" w:eastAsia="游ゴシック"/>
                <w:sz w:val="18"/>
              </w:rPr>
              <w:t>計画書の分量配分</w:t>
            </w:r>
          </w:p>
        </w:tc>
        <w:tc>
          <w:tcPr>
            <w:tcW w:type="dxa" w:w="5216"/>
          </w:tcPr>
          <w:p>
            <w:r/>
            <w:r>
              <w:rPr>
                <w:rFonts w:ascii="游ゴシック" w:hAnsi="游ゴシック" w:eastAsia="游ゴシック"/>
                <w:sz w:val="18"/>
              </w:rPr>
              <w:t>成果品仕様は本文約100頁です。第2章（現状分析）に何頁を配分するか目安をご教示ください。第9期計画では第2章に約40頁を充てております。図表集は全104点を作図済みで、うち本文掲載を想定しているものが91点です。</w:t>
            </w:r>
          </w:p>
        </w:tc>
        <w:tc>
          <w:tcPr>
            <w:tcW w:type="dxa" w:w="1587"/>
          </w:tcPr>
          <w:p>
            <w:r/>
            <w:r>
              <w:rPr>
                <w:rFonts w:ascii="游ゴシック" w:hAnsi="游ゴシック" w:eastAsia="游ゴシック"/>
                <w:sz w:val="18"/>
              </w:rPr>
            </w:r>
          </w:p>
        </w:tc>
      </w:tr>
      <w:tr>
        <w:tc>
          <w:tcPr>
            <w:tcW w:type="dxa" w:w="567"/>
          </w:tcPr>
          <w:p>
            <w:r/>
            <w:r>
              <w:rPr>
                <w:rFonts w:ascii="游ゴシック" w:hAnsi="游ゴシック" w:eastAsia="游ゴシック"/>
                <w:sz w:val="18"/>
              </w:rPr>
              <w:t>15</w:t>
            </w:r>
          </w:p>
        </w:tc>
        <w:tc>
          <w:tcPr>
            <w:tcW w:type="dxa" w:w="2041"/>
          </w:tcPr>
          <w:p>
            <w:r/>
            <w:r>
              <w:rPr>
                <w:rFonts w:ascii="游ゴシック" w:hAnsi="游ゴシック" w:eastAsia="游ゴシック"/>
                <w:sz w:val="18"/>
              </w:rPr>
              <w:t>工程の段階承認</w:t>
            </w:r>
          </w:p>
        </w:tc>
        <w:tc>
          <w:tcPr>
            <w:tcW w:type="dxa" w:w="5216"/>
          </w:tcPr>
          <w:p>
            <w:r/>
            <w:r>
              <w:rPr>
                <w:rFonts w:ascii="游ゴシック" w:hAnsi="游ゴシック" w:eastAsia="游ゴシック"/>
                <w:sz w:val="18"/>
              </w:rPr>
              <w:t>仕様書に「各工程終了後、成果物を提出し、発注者の確認を受けた上で次工程へ進む」とあります。確認に要する標準日数と、人口推計・現状分析を9月に前倒しできるかご教示ください。</w:t>
            </w:r>
          </w:p>
        </w:tc>
        <w:tc>
          <w:tcPr>
            <w:tcW w:type="dxa" w:w="1587"/>
          </w:tcPr>
          <w:p>
            <w:r/>
            <w:r>
              <w:rPr>
                <w:rFonts w:ascii="游ゴシック" w:hAnsi="游ゴシック" w:eastAsia="游ゴシック"/>
                <w:sz w:val="18"/>
              </w:rPr>
            </w:r>
          </w:p>
        </w:tc>
      </w:tr>
      <w:tr>
        <w:tc>
          <w:tcPr>
            <w:tcW w:type="dxa" w:w="567"/>
          </w:tcPr>
          <w:p>
            <w:r/>
            <w:r>
              <w:rPr>
                <w:rFonts w:ascii="游ゴシック" w:hAnsi="游ゴシック" w:eastAsia="游ゴシック"/>
                <w:sz w:val="18"/>
              </w:rPr>
              <w:t>16</w:t>
            </w:r>
          </w:p>
        </w:tc>
        <w:tc>
          <w:tcPr>
            <w:tcW w:type="dxa" w:w="2041"/>
          </w:tcPr>
          <w:p>
            <w:r/>
            <w:r>
              <w:rPr>
                <w:rFonts w:ascii="游ゴシック" w:hAnsi="游ゴシック" w:eastAsia="游ゴシック"/>
                <w:sz w:val="18"/>
              </w:rPr>
              <w:t>H09・H10の業務記録の様式　【新規】</w:t>
            </w:r>
          </w:p>
        </w:tc>
        <w:tc>
          <w:tcPr>
            <w:tcW w:type="dxa" w:w="5216"/>
          </w:tcPr>
          <w:p>
            <w:r/>
            <w:r>
              <w:rPr>
                <w:rFonts w:ascii="游ゴシック" w:hAnsi="游ゴシック" w:eastAsia="游ゴシック"/>
                <w:sz w:val="18"/>
              </w:rPr>
              <w:t>H09（退院時支援調整実施率）とH10（認知症相談から支援接続までの適時率）は、3町の地域包括支援センターの業務記録をデータ源とします。3町の記録様式が統一されているか、H10の「標準日数」の定義があるかをご確認ください。統一されていない場合は、令和9年度は様式整備を管理指標とし、基準値の設定を令和10年度からとする段階設定を提案いたします。</w:t>
            </w:r>
          </w:p>
        </w:tc>
        <w:tc>
          <w:tcPr>
            <w:tcW w:type="dxa" w:w="1587"/>
          </w:tcPr>
          <w:p>
            <w:r/>
            <w:r>
              <w:rPr>
                <w:rFonts w:ascii="游ゴシック" w:hAnsi="游ゴシック" w:eastAsia="游ゴシック"/>
                <w:sz w:val="18"/>
              </w:rPr>
            </w:r>
          </w:p>
        </w:tc>
      </w:tr>
      <w:tr>
        <w:tc>
          <w:tcPr>
            <w:tcW w:type="dxa" w:w="567"/>
          </w:tcPr>
          <w:p>
            <w:r/>
            <w:r>
              <w:rPr>
                <w:rFonts w:ascii="游ゴシック" w:hAnsi="游ゴシック" w:eastAsia="游ゴシック"/>
                <w:sz w:val="18"/>
              </w:rPr>
              <w:t>17</w:t>
            </w:r>
          </w:p>
        </w:tc>
        <w:tc>
          <w:tcPr>
            <w:tcW w:type="dxa" w:w="2041"/>
          </w:tcPr>
          <w:p>
            <w:r/>
            <w:r>
              <w:rPr>
                <w:rFonts w:ascii="游ゴシック" w:hAnsi="游ゴシック" w:eastAsia="游ゴシック"/>
                <w:sz w:val="18"/>
              </w:rPr>
              <w:t>介護人材実態調査の設問　【新規】</w:t>
            </w:r>
          </w:p>
        </w:tc>
        <w:tc>
          <w:tcPr>
            <w:tcW w:type="dxa" w:w="5216"/>
          </w:tcPr>
          <w:p>
            <w:r/>
            <w:r>
              <w:rPr>
                <w:rFonts w:ascii="游ゴシック" w:hAnsi="游ゴシック" w:eastAsia="游ゴシック"/>
                <w:sz w:val="18"/>
              </w:rPr>
              <w:t>H13（職種別欠員率）は「必要常勤換算数」、H14（採用者1年定着率）は「採用後12か月時点の在職」を必要としますが、第9期の同調査にこれらの設問は確認できませんでした。第10期の調査票に該当設問があるかご確認ください。ない場合は、H13は求人継続期間又は採用者数と退職者数の差分、H14は年間離職率での代替を提案いたします。</w:t>
            </w:r>
          </w:p>
        </w:tc>
        <w:tc>
          <w:tcPr>
            <w:tcW w:type="dxa" w:w="1587"/>
          </w:tcPr>
          <w:p>
            <w:r/>
            <w:r>
              <w:rPr>
                <w:rFonts w:ascii="游ゴシック" w:hAnsi="游ゴシック" w:eastAsia="游ゴシック"/>
                <w:sz w:val="18"/>
              </w:rPr>
            </w:r>
          </w:p>
        </w:tc>
      </w:tr>
      <w:tr>
        <w:tc>
          <w:tcPr>
            <w:tcW w:type="dxa" w:w="567"/>
          </w:tcPr>
          <w:p>
            <w:r/>
            <w:r>
              <w:rPr>
                <w:rFonts w:ascii="游ゴシック" w:hAnsi="游ゴシック" w:eastAsia="游ゴシック"/>
                <w:sz w:val="18"/>
              </w:rPr>
              <w:t>18</w:t>
            </w:r>
          </w:p>
        </w:tc>
        <w:tc>
          <w:tcPr>
            <w:tcW w:type="dxa" w:w="2041"/>
          </w:tcPr>
          <w:p>
            <w:r/>
            <w:r>
              <w:rPr>
                <w:rFonts w:ascii="游ゴシック" w:hAnsi="游ゴシック" w:eastAsia="游ゴシック"/>
                <w:sz w:val="18"/>
              </w:rPr>
              <w:t>新規認定者数の抽出　【新規】</w:t>
            </w:r>
          </w:p>
        </w:tc>
        <w:tc>
          <w:tcPr>
            <w:tcW w:type="dxa" w:w="5216"/>
          </w:tcPr>
          <w:p>
            <w:r/>
            <w:r>
              <w:rPr>
                <w:rFonts w:ascii="游ゴシック" w:hAnsi="游ゴシック" w:eastAsia="游ゴシック"/>
                <w:sz w:val="18"/>
              </w:rPr>
              <w:t>H03（75歳以上新規認定率）は補完KPIですが、見える化に新規認定者数の系列がなく、認定台帳からの抽出が必要です。年度別・年齢階級別の新規認定者数を抽出できるかご確認ください。</w:t>
            </w:r>
          </w:p>
        </w:tc>
        <w:tc>
          <w:tcPr>
            <w:tcW w:type="dxa" w:w="1587"/>
          </w:tcPr>
          <w:p>
            <w:r/>
            <w:r>
              <w:rPr>
                <w:rFonts w:ascii="游ゴシック" w:hAnsi="游ゴシック" w:eastAsia="游ゴシック"/>
                <w:sz w:val="18"/>
              </w:rPr>
            </w:r>
          </w:p>
        </w:tc>
      </w:tr>
      <w:tr>
        <w:tc>
          <w:tcPr>
            <w:tcW w:type="dxa" w:w="567"/>
          </w:tcPr>
          <w:p>
            <w:r/>
            <w:r>
              <w:rPr>
                <w:rFonts w:ascii="游ゴシック" w:hAnsi="游ゴシック" w:eastAsia="游ゴシック"/>
                <w:sz w:val="18"/>
              </w:rPr>
              <w:t>19</w:t>
            </w:r>
          </w:p>
        </w:tc>
        <w:tc>
          <w:tcPr>
            <w:tcW w:type="dxa" w:w="2041"/>
          </w:tcPr>
          <w:p>
            <w:r/>
            <w:r>
              <w:rPr>
                <w:rFonts w:ascii="游ゴシック" w:hAnsi="游ゴシック" w:eastAsia="游ゴシック"/>
                <w:sz w:val="18"/>
              </w:rPr>
              <w:t>H16の指標設計　【新規】</w:t>
            </w:r>
          </w:p>
        </w:tc>
        <w:tc>
          <w:tcPr>
            <w:tcW w:type="dxa" w:w="5216"/>
          </w:tcPr>
          <w:p>
            <w:r/>
            <w:r>
              <w:rPr>
                <w:rFonts w:ascii="游ゴシック" w:hAnsi="游ゴシック" w:eastAsia="游ゴシック"/>
                <w:sz w:val="18"/>
              </w:rPr>
              <w:t>H16（災害・感染症時の必須サービス継続率）は実績指標のため、計画期間中に事象がなければ測定機会自体が生じません。またデータ源とされる事業所実態調査が仕様書の対象調査に含まれていません。体制指標（事業所のBCP策定率、訓練実施率、相互応援協定の締結数）への組替えをご検討ください。BCPの策定は令和6年度から義務化されており、調査を経ずに把握できます。</w:t>
            </w:r>
          </w:p>
        </w:tc>
        <w:tc>
          <w:tcPr>
            <w:tcW w:type="dxa" w:w="1587"/>
          </w:tcPr>
          <w:p>
            <w:r/>
            <w:r>
              <w:rPr>
                <w:rFonts w:ascii="游ゴシック" w:hAnsi="游ゴシック" w:eastAsia="游ゴシック"/>
                <w:sz w:val="18"/>
              </w:rPr>
            </w:r>
          </w:p>
        </w:tc>
      </w:tr>
    </w:tbl>
    <w:p>
      <w:r>
        <w:br w:type="page"/>
      </w:r>
    </w:p>
    <w:p>
      <w:pPr>
        <w:spacing w:after="120" w:before="200"/>
      </w:pPr>
      <w:r>
        <w:rPr>
          <w:rFonts w:ascii="游ゴシック" w:hAnsi="游ゴシック" w:eastAsia="游ゴシック"/>
          <w:b/>
          <w:sz w:val="24"/>
        </w:rPr>
        <w:t>３　ご提供をお願いする資料（21件）</w:t>
      </w:r>
    </w:p>
    <w:p>
      <w:pPr>
        <w:spacing w:after="80"/>
      </w:pPr>
      <w:r>
        <w:rPr>
          <w:rFonts w:ascii="游ゴシック" w:hAnsi="游ゴシック" w:eastAsia="游ゴシック"/>
          <w:b w:val="0"/>
          <w:sz w:val="19"/>
        </w:rPr>
        <w:t>計画の確定に必要な資料です。優先度の高いものから記載しております。</w:t>
      </w:r>
    </w:p>
    <w:tbl>
      <w:tblPr>
        <w:tblStyle w:val="TableGrid"/>
        <w:tblW w:type="auto" w:w="0"/>
        <w:jc w:val="center"/>
        <w:tblLook w:firstColumn="1" w:firstRow="1" w:lastColumn="0" w:lastRow="0" w:noHBand="0" w:noVBand="1" w:val="04A0"/>
      </w:tblPr>
      <w:tblGrid>
        <w:gridCol w:w="2550"/>
        <w:gridCol w:w="2550"/>
        <w:gridCol w:w="2550"/>
        <w:gridCol w:w="2550"/>
      </w:tblGrid>
      <w:tr>
        <w:tc>
          <w:tcPr>
            <w:tcW w:type="dxa" w:w="850"/>
          </w:tcPr>
          <w:p>
            <w:r/>
            <w:r>
              <w:rPr>
                <w:rFonts w:ascii="游ゴシック" w:hAnsi="游ゴシック" w:eastAsia="游ゴシック"/>
                <w:b/>
                <w:sz w:val="18"/>
              </w:rPr>
              <w:t>優先</w:t>
            </w:r>
          </w:p>
        </w:tc>
        <w:tc>
          <w:tcPr>
            <w:tcW w:type="dxa" w:w="3685"/>
          </w:tcPr>
          <w:p>
            <w:r/>
            <w:r>
              <w:rPr>
                <w:rFonts w:ascii="游ゴシック" w:hAnsi="游ゴシック" w:eastAsia="游ゴシック"/>
                <w:b/>
                <w:sz w:val="18"/>
              </w:rPr>
              <w:t>資料</w:t>
            </w:r>
          </w:p>
        </w:tc>
        <w:tc>
          <w:tcPr>
            <w:tcW w:type="dxa" w:w="3118"/>
          </w:tcPr>
          <w:p>
            <w:r/>
            <w:r>
              <w:rPr>
                <w:rFonts w:ascii="游ゴシック" w:hAnsi="游ゴシック" w:eastAsia="游ゴシック"/>
                <w:b/>
                <w:sz w:val="18"/>
              </w:rPr>
              <w:t>用途</w:t>
            </w:r>
          </w:p>
        </w:tc>
        <w:tc>
          <w:tcPr>
            <w:tcW w:type="dxa" w:w="1757"/>
          </w:tcPr>
          <w:p>
            <w:r/>
            <w:r>
              <w:rPr>
                <w:rFonts w:ascii="游ゴシック" w:hAnsi="游ゴシック" w:eastAsia="游ゴシック"/>
                <w:b/>
                <w:sz w:val="18"/>
              </w:rPr>
              <w:t>希望時期</w:t>
            </w:r>
          </w:p>
        </w:tc>
      </w:tr>
      <w:tr>
        <w:tc>
          <w:tcPr>
            <w:tcW w:type="dxa" w:w="850"/>
          </w:tcPr>
          <w:p>
            <w:r/>
            <w:r>
              <w:rPr>
                <w:rFonts w:ascii="游ゴシック" w:hAnsi="游ゴシック" w:eastAsia="游ゴシック"/>
                <w:sz w:val="18"/>
              </w:rPr>
              <w:t>最優先</w:t>
            </w:r>
          </w:p>
        </w:tc>
        <w:tc>
          <w:tcPr>
            <w:tcW w:type="dxa" w:w="3685"/>
          </w:tcPr>
          <w:p>
            <w:r/>
            <w:r>
              <w:rPr>
                <w:rFonts w:ascii="游ゴシック" w:hAnsi="游ゴシック" w:eastAsia="游ゴシック"/>
                <w:sz w:val="18"/>
              </w:rPr>
              <w:t>見える化の再出力①　δ2・δ2-a〜e／δ3・δ3-a〜e（介護サービス自給率　時系列・地域比較。全体、訪問系、通所系、短期入所系、多機能系、施設居住系の各6区分　計12件）</w:t>
            </w:r>
          </w:p>
        </w:tc>
        <w:tc>
          <w:tcPr>
            <w:tcW w:type="dxa" w:w="3118"/>
          </w:tcPr>
          <w:p>
            <w:r/>
            <w:r>
              <w:rPr>
                <w:rFonts w:ascii="游ゴシック" w:hAnsi="游ゴシック" w:eastAsia="游ゴシック"/>
                <w:sz w:val="18"/>
              </w:rPr>
              <w:t>3町の旭川市依存度の把握。定期巡回・看多機が実質ゼロである理由（域外利用で足りているのか、そもそも届いていないのか）の判別。第6章の整備方針の前提</w:t>
            </w:r>
          </w:p>
        </w:tc>
        <w:tc>
          <w:tcPr>
            <w:tcW w:type="dxa" w:w="1757"/>
          </w:tcPr>
          <w:p>
            <w:r/>
            <w:r>
              <w:rPr>
                <w:rFonts w:ascii="游ゴシック" w:hAnsi="游ゴシック" w:eastAsia="游ゴシック"/>
                <w:sz w:val="18"/>
              </w:rPr>
              <w:t>現状分析前</w:t>
            </w:r>
          </w:p>
        </w:tc>
      </w:tr>
      <w:tr>
        <w:tc>
          <w:tcPr>
            <w:tcW w:type="dxa" w:w="850"/>
          </w:tcPr>
          <w:p>
            <w:r/>
            <w:r>
              <w:rPr>
                <w:rFonts w:ascii="游ゴシック" w:hAnsi="游ゴシック" w:eastAsia="游ゴシック"/>
                <w:sz w:val="18"/>
              </w:rPr>
              <w:t>最優先</w:t>
            </w:r>
          </w:p>
        </w:tc>
        <w:tc>
          <w:tcPr>
            <w:tcW w:type="dxa" w:w="3685"/>
          </w:tcPr>
          <w:p>
            <w:r/>
            <w:r>
              <w:rPr>
                <w:rFonts w:ascii="游ゴシック" w:hAnsi="游ゴシック" w:eastAsia="游ゴシック"/>
                <w:sz w:val="18"/>
              </w:rPr>
              <w:t>見える化の再出力②　F4・F5・F6（月1回以上の通いの場の参加率・参加者数・箇所数）及びF1・F2・F3（週1回以上）　計6件</w:t>
            </w:r>
          </w:p>
        </w:tc>
        <w:tc>
          <w:tcPr>
            <w:tcW w:type="dxa" w:w="3118"/>
          </w:tcPr>
          <w:p>
            <w:r/>
            <w:r>
              <w:rPr>
                <w:rFonts w:ascii="游ゴシック" w:hAnsi="游ゴシック" w:eastAsia="游ゴシック"/>
                <w:sz w:val="18"/>
              </w:rPr>
              <w:t>国の目標8％・北海道のKPIと同じ統計での通いの場参加率の把握（下記１（7）の解決）</w:t>
            </w:r>
          </w:p>
        </w:tc>
        <w:tc>
          <w:tcPr>
            <w:tcW w:type="dxa" w:w="1757"/>
          </w:tcPr>
          <w:p>
            <w:r/>
            <w:r>
              <w:rPr>
                <w:rFonts w:ascii="游ゴシック" w:hAnsi="游ゴシック" w:eastAsia="游ゴシック"/>
                <w:sz w:val="18"/>
              </w:rPr>
              <w:t>第1回委員会前</w:t>
            </w:r>
          </w:p>
        </w:tc>
      </w:tr>
      <w:tr>
        <w:tc>
          <w:tcPr>
            <w:tcW w:type="dxa" w:w="850"/>
          </w:tcPr>
          <w:p>
            <w:r/>
            <w:r>
              <w:rPr>
                <w:rFonts w:ascii="游ゴシック" w:hAnsi="游ゴシック" w:eastAsia="游ゴシック"/>
                <w:sz w:val="18"/>
              </w:rPr>
              <w:t>最優先</w:t>
            </w:r>
          </w:p>
        </w:tc>
        <w:tc>
          <w:tcPr>
            <w:tcW w:type="dxa" w:w="3685"/>
          </w:tcPr>
          <w:p>
            <w:r/>
            <w:r>
              <w:rPr>
                <w:rFonts w:ascii="游ゴシック" w:hAnsi="游ゴシック" w:eastAsia="游ゴシック"/>
                <w:sz w:val="18"/>
              </w:rPr>
              <w:t>見える化の再出力③　H1・H2（介護人材の必要数／需要見込みに対する供給見込みの割合）　計2件</w:t>
            </w:r>
          </w:p>
        </w:tc>
        <w:tc>
          <w:tcPr>
            <w:tcW w:type="dxa" w:w="3118"/>
          </w:tcPr>
          <w:p>
            <w:r/>
            <w:r>
              <w:rPr>
                <w:rFonts w:ascii="游ゴシック" w:hAnsi="游ゴシック" w:eastAsia="游ゴシック"/>
                <w:sz w:val="18"/>
              </w:rPr>
              <w:t>北海道が「令和8年までに約114千人」としている推計と同じ方法での大雪の必要人材数。H13（職種別欠員率）の代替</w:t>
            </w:r>
          </w:p>
        </w:tc>
        <w:tc>
          <w:tcPr>
            <w:tcW w:type="dxa" w:w="1757"/>
          </w:tcPr>
          <w:p>
            <w:r/>
            <w:r>
              <w:rPr>
                <w:rFonts w:ascii="游ゴシック" w:hAnsi="游ゴシック" w:eastAsia="游ゴシック"/>
                <w:sz w:val="18"/>
              </w:rPr>
              <w:t>第1回委員会後</w:t>
            </w:r>
          </w:p>
        </w:tc>
      </w:tr>
      <w:tr>
        <w:tc>
          <w:tcPr>
            <w:tcW w:type="dxa" w:w="850"/>
          </w:tcPr>
          <w:p>
            <w:r/>
            <w:r>
              <w:rPr>
                <w:rFonts w:ascii="游ゴシック" w:hAnsi="游ゴシック" w:eastAsia="游ゴシック"/>
                <w:sz w:val="18"/>
              </w:rPr>
              <w:t>最優先</w:t>
            </w:r>
          </w:p>
        </w:tc>
        <w:tc>
          <w:tcPr>
            <w:tcW w:type="dxa" w:w="3685"/>
          </w:tcPr>
          <w:p>
            <w:r/>
            <w:r>
              <w:rPr>
                <w:rFonts w:ascii="游ゴシック" w:hAnsi="游ゴシック" w:eastAsia="游ゴシック"/>
                <w:sz w:val="18"/>
              </w:rPr>
              <w:t>見える化の再出力④　K1-a〜e・K2-a〜c・K3-a〜s（サービス提供事業所数　全27サービス種別）　計34件</w:t>
            </w:r>
          </w:p>
        </w:tc>
        <w:tc>
          <w:tcPr>
            <w:tcW w:type="dxa" w:w="3118"/>
          </w:tcPr>
          <w:p>
            <w:r/>
            <w:r>
              <w:rPr>
                <w:rFonts w:ascii="游ゴシック" w:hAnsi="游ゴシック" w:eastAsia="游ゴシック"/>
                <w:sz w:val="18"/>
              </w:rPr>
              <w:t>基本指針の新別表 七への対応。地域密着型通所介護の給付月額が27.0％低下した要因（休廃止の有無）の確認</w:t>
            </w:r>
          </w:p>
        </w:tc>
        <w:tc>
          <w:tcPr>
            <w:tcW w:type="dxa" w:w="1757"/>
          </w:tcPr>
          <w:p>
            <w:r/>
            <w:r>
              <w:rPr>
                <w:rFonts w:ascii="游ゴシック" w:hAnsi="游ゴシック" w:eastAsia="游ゴシック"/>
                <w:sz w:val="18"/>
              </w:rPr>
              <w:t>現状分析前</w:t>
            </w:r>
          </w:p>
        </w:tc>
      </w:tr>
      <w:tr>
        <w:tc>
          <w:tcPr>
            <w:tcW w:type="dxa" w:w="850"/>
          </w:tcPr>
          <w:p>
            <w:r/>
            <w:r>
              <w:rPr>
                <w:rFonts w:ascii="游ゴシック" w:hAnsi="游ゴシック" w:eastAsia="游ゴシック"/>
                <w:sz w:val="18"/>
              </w:rPr>
              <w:t>高</w:t>
            </w:r>
          </w:p>
        </w:tc>
        <w:tc>
          <w:tcPr>
            <w:tcW w:type="dxa" w:w="3685"/>
          </w:tcPr>
          <w:p>
            <w:r/>
            <w:r>
              <w:rPr>
                <w:rFonts w:ascii="游ゴシック" w:hAnsi="游ゴシック" w:eastAsia="游ゴシック"/>
                <w:sz w:val="18"/>
              </w:rPr>
              <w:t>見える化の再出力⑤　L27-a〜c・L28-a〜b（在宅死亡者数・看取り数）、L20〜L26・O1〜O13（医療介護連携に関する加算等の算定状況）、M2-a〜m（従事者数　サービス別・認定者1万対）、F15〜F25（地域包括支援センターの設置数・人員体制・地域ケア会議開催回数）、F28〜F40（訪問型・通所型サービスA〜Dの実施延べ件数）、J1〜J18（認知症関連研修・初期集中支援チーム・地域支援推進員・認知症カフェ）、W系列（保険者機能強化推進交付金等の評価指標）、δ1-a〜c（レーダーチャート）</w:t>
            </w:r>
          </w:p>
        </w:tc>
        <w:tc>
          <w:tcPr>
            <w:tcW w:type="dxa" w:w="3118"/>
          </w:tcPr>
          <w:p>
            <w:r/>
            <w:r>
              <w:rPr>
                <w:rFonts w:ascii="游ゴシック" w:hAnsi="游ゴシック" w:eastAsia="游ゴシック"/>
                <w:sz w:val="18"/>
              </w:rPr>
              <w:t>基本指針の新別表 三・七・九・十・十一への対応。H09（退院時支援調整実施率）の代替指標の検討</w:t>
            </w:r>
          </w:p>
        </w:tc>
        <w:tc>
          <w:tcPr>
            <w:tcW w:type="dxa" w:w="1757"/>
          </w:tcPr>
          <w:p>
            <w:r/>
            <w:r>
              <w:rPr>
                <w:rFonts w:ascii="游ゴシック" w:hAnsi="游ゴシック" w:eastAsia="游ゴシック"/>
                <w:sz w:val="18"/>
              </w:rPr>
              <w:t>現状分析前</w:t>
            </w:r>
          </w:p>
        </w:tc>
      </w:tr>
      <w:tr>
        <w:tc>
          <w:tcPr>
            <w:tcW w:type="dxa" w:w="850"/>
          </w:tcPr>
          <w:p>
            <w:r/>
            <w:r>
              <w:rPr>
                <w:rFonts w:ascii="游ゴシック" w:hAnsi="游ゴシック" w:eastAsia="游ゴシック"/>
                <w:sz w:val="18"/>
              </w:rPr>
              <w:t>高</w:t>
            </w:r>
          </w:p>
        </w:tc>
        <w:tc>
          <w:tcPr>
            <w:tcW w:type="dxa" w:w="3685"/>
          </w:tcPr>
          <w:p>
            <w:r/>
            <w:r>
              <w:rPr>
                <w:rFonts w:ascii="游ゴシック" w:hAnsi="游ゴシック" w:eastAsia="游ゴシック"/>
                <w:sz w:val="18"/>
              </w:rPr>
              <w:t>地域包括支援センター運営状況調査の評価結果（3町分）</w:t>
            </w:r>
          </w:p>
        </w:tc>
        <w:tc>
          <w:tcPr>
            <w:tcW w:type="dxa" w:w="3118"/>
          </w:tcPr>
          <w:p>
            <w:r/>
            <w:r>
              <w:rPr>
                <w:rFonts w:ascii="游ゴシック" w:hAnsi="游ゴシック" w:eastAsia="游ゴシック"/>
                <w:sz w:val="18"/>
              </w:rPr>
              <w:t>北海道の評価指標との比較、H09・H10の補完指標</w:t>
            </w:r>
          </w:p>
        </w:tc>
        <w:tc>
          <w:tcPr>
            <w:tcW w:type="dxa" w:w="1757"/>
          </w:tcPr>
          <w:p>
            <w:r/>
            <w:r>
              <w:rPr>
                <w:rFonts w:ascii="游ゴシック" w:hAnsi="游ゴシック" w:eastAsia="游ゴシック"/>
                <w:sz w:val="18"/>
              </w:rPr>
              <w:t>第1回委員会後</w:t>
            </w:r>
          </w:p>
        </w:tc>
      </w:tr>
      <w:tr>
        <w:tc>
          <w:tcPr>
            <w:tcW w:type="dxa" w:w="850"/>
          </w:tcPr>
          <w:p>
            <w:r/>
            <w:r>
              <w:rPr>
                <w:rFonts w:ascii="游ゴシック" w:hAnsi="游ゴシック" w:eastAsia="游ゴシック"/>
                <w:sz w:val="18"/>
              </w:rPr>
              <w:t>最優先</w:t>
            </w:r>
          </w:p>
        </w:tc>
        <w:tc>
          <w:tcPr>
            <w:tcW w:type="dxa" w:w="3685"/>
          </w:tcPr>
          <w:p>
            <w:r/>
            <w:r>
              <w:rPr>
                <w:rFonts w:ascii="游ゴシック" w:hAnsi="游ゴシック" w:eastAsia="游ゴシック"/>
                <w:sz w:val="18"/>
              </w:rPr>
              <w:t>日常生活圏域別（美瑛町4圏域を含む6圏域）の人口・認定者・受給者・給付費</w:t>
            </w:r>
          </w:p>
        </w:tc>
        <w:tc>
          <w:tcPr>
            <w:tcW w:type="dxa" w:w="3118"/>
          </w:tcPr>
          <w:p>
            <w:r/>
            <w:r>
              <w:rPr>
                <w:rFonts w:ascii="游ゴシック" w:hAnsi="游ゴシック" w:eastAsia="游ゴシック"/>
                <w:sz w:val="18"/>
              </w:rPr>
              <w:t>仕様書４（４）が求める圏域別の地域特性分析（未着手）</w:t>
            </w:r>
          </w:p>
        </w:tc>
        <w:tc>
          <w:tcPr>
            <w:tcW w:type="dxa" w:w="1757"/>
          </w:tcPr>
          <w:p>
            <w:r/>
            <w:r>
              <w:rPr>
                <w:rFonts w:ascii="游ゴシック" w:hAnsi="游ゴシック" w:eastAsia="游ゴシック"/>
                <w:sz w:val="18"/>
              </w:rPr>
              <w:t>現状分析前</w:t>
            </w:r>
          </w:p>
        </w:tc>
      </w:tr>
      <w:tr>
        <w:tc>
          <w:tcPr>
            <w:tcW w:type="dxa" w:w="850"/>
          </w:tcPr>
          <w:p>
            <w:r/>
            <w:r>
              <w:rPr>
                <w:rFonts w:ascii="游ゴシック" w:hAnsi="游ゴシック" w:eastAsia="游ゴシック"/>
                <w:sz w:val="18"/>
              </w:rPr>
              <w:t>最優先</w:t>
            </w:r>
          </w:p>
        </w:tc>
        <w:tc>
          <w:tcPr>
            <w:tcW w:type="dxa" w:w="3685"/>
          </w:tcPr>
          <w:p>
            <w:r/>
            <w:r>
              <w:rPr>
                <w:rFonts w:ascii="游ゴシック" w:hAnsi="游ゴシック" w:eastAsia="游ゴシック"/>
                <w:sz w:val="18"/>
              </w:rPr>
              <w:t>第9期計画（令和6〜8年度）の施策・事業実績、事業量、対象実人数、予算・決算</w:t>
            </w:r>
          </w:p>
        </w:tc>
        <w:tc>
          <w:tcPr>
            <w:tcW w:type="dxa" w:w="3118"/>
          </w:tcPr>
          <w:p>
            <w:r/>
            <w:r>
              <w:rPr>
                <w:rFonts w:ascii="游ゴシック" w:hAnsi="游ゴシック" w:eastAsia="游ゴシック"/>
                <w:sz w:val="18"/>
              </w:rPr>
              <w:t>第3章の達成度評価、KPI基準値</w:t>
            </w:r>
          </w:p>
        </w:tc>
        <w:tc>
          <w:tcPr>
            <w:tcW w:type="dxa" w:w="1757"/>
          </w:tcPr>
          <w:p>
            <w:r/>
            <w:r>
              <w:rPr>
                <w:rFonts w:ascii="游ゴシック" w:hAnsi="游ゴシック" w:eastAsia="游ゴシック"/>
                <w:sz w:val="18"/>
              </w:rPr>
              <w:t>第1回委員会後</w:t>
            </w:r>
          </w:p>
        </w:tc>
      </w:tr>
      <w:tr>
        <w:tc>
          <w:tcPr>
            <w:tcW w:type="dxa" w:w="850"/>
          </w:tcPr>
          <w:p>
            <w:r/>
            <w:r>
              <w:rPr>
                <w:rFonts w:ascii="游ゴシック" w:hAnsi="游ゴシック" w:eastAsia="游ゴシック"/>
                <w:sz w:val="18"/>
              </w:rPr>
              <w:t>最優先</w:t>
            </w:r>
          </w:p>
        </w:tc>
        <w:tc>
          <w:tcPr>
            <w:tcW w:type="dxa" w:w="3685"/>
          </w:tcPr>
          <w:p>
            <w:r/>
            <w:r>
              <w:rPr>
                <w:rFonts w:ascii="游ゴシック" w:hAnsi="游ゴシック" w:eastAsia="游ゴシック"/>
                <w:sz w:val="18"/>
              </w:rPr>
              <w:t>介護給付費準備基金の残高推移と取崩実績（第7期〜第9期）</w:t>
            </w:r>
          </w:p>
        </w:tc>
        <w:tc>
          <w:tcPr>
            <w:tcW w:type="dxa" w:w="3118"/>
          </w:tcPr>
          <w:p>
            <w:r/>
            <w:r>
              <w:rPr>
                <w:rFonts w:ascii="游ゴシック" w:hAnsi="游ゴシック" w:eastAsia="游ゴシック"/>
                <w:sz w:val="18"/>
              </w:rPr>
              <w:t>第6章の保険料試算、第9期の剰余の帰趨の確認</w:t>
            </w:r>
          </w:p>
        </w:tc>
        <w:tc>
          <w:tcPr>
            <w:tcW w:type="dxa" w:w="1757"/>
          </w:tcPr>
          <w:p>
            <w:r/>
            <w:r>
              <w:rPr>
                <w:rFonts w:ascii="游ゴシック" w:hAnsi="游ゴシック" w:eastAsia="游ゴシック"/>
                <w:sz w:val="18"/>
              </w:rPr>
              <w:t>保険料試算前</w:t>
            </w:r>
          </w:p>
        </w:tc>
      </w:tr>
      <w:tr>
        <w:tc>
          <w:tcPr>
            <w:tcW w:type="dxa" w:w="850"/>
          </w:tcPr>
          <w:p>
            <w:r/>
            <w:r>
              <w:rPr>
                <w:rFonts w:ascii="游ゴシック" w:hAnsi="游ゴシック" w:eastAsia="游ゴシック"/>
                <w:sz w:val="18"/>
              </w:rPr>
              <w:t>最優先</w:t>
            </w:r>
          </w:p>
        </w:tc>
        <w:tc>
          <w:tcPr>
            <w:tcW w:type="dxa" w:w="3685"/>
          </w:tcPr>
          <w:p>
            <w:r/>
            <w:r>
              <w:rPr>
                <w:rFonts w:ascii="游ゴシック" w:hAnsi="游ゴシック" w:eastAsia="游ゴシック"/>
                <w:sz w:val="18"/>
              </w:rPr>
              <w:t>保険料収納率の実績（第7期〜第9期）</w:t>
            </w:r>
          </w:p>
        </w:tc>
        <w:tc>
          <w:tcPr>
            <w:tcW w:type="dxa" w:w="3118"/>
          </w:tcPr>
          <w:p>
            <w:r/>
            <w:r>
              <w:rPr>
                <w:rFonts w:ascii="游ゴシック" w:hAnsi="游ゴシック" w:eastAsia="游ゴシック"/>
                <w:sz w:val="18"/>
              </w:rPr>
              <w:t>第10期の予定収納率99.0％の妥当性検証</w:t>
            </w:r>
          </w:p>
        </w:tc>
        <w:tc>
          <w:tcPr>
            <w:tcW w:type="dxa" w:w="1757"/>
          </w:tcPr>
          <w:p>
            <w:r/>
            <w:r>
              <w:rPr>
                <w:rFonts w:ascii="游ゴシック" w:hAnsi="游ゴシック" w:eastAsia="游ゴシック"/>
                <w:sz w:val="18"/>
              </w:rPr>
              <w:t>保険料試算前</w:t>
            </w:r>
          </w:p>
        </w:tc>
      </w:tr>
      <w:tr>
        <w:tc>
          <w:tcPr>
            <w:tcW w:type="dxa" w:w="850"/>
          </w:tcPr>
          <w:p>
            <w:r/>
            <w:r>
              <w:rPr>
                <w:rFonts w:ascii="游ゴシック" w:hAnsi="游ゴシック" w:eastAsia="游ゴシック"/>
                <w:sz w:val="18"/>
              </w:rPr>
              <w:t>最優先</w:t>
            </w:r>
          </w:p>
        </w:tc>
        <w:tc>
          <w:tcPr>
            <w:tcW w:type="dxa" w:w="3685"/>
          </w:tcPr>
          <w:p>
            <w:r/>
            <w:r>
              <w:rPr>
                <w:rFonts w:ascii="游ゴシック" w:hAnsi="游ゴシック" w:eastAsia="游ゴシック"/>
                <w:sz w:val="18"/>
              </w:rPr>
              <w:t>在宅生活改善調査・居所変更実態調査・介護人材実態調査の確定集計</w:t>
            </w:r>
          </w:p>
        </w:tc>
        <w:tc>
          <w:tcPr>
            <w:tcW w:type="dxa" w:w="3118"/>
          </w:tcPr>
          <w:p>
            <w:r/>
            <w:r>
              <w:rPr>
                <w:rFonts w:ascii="游ゴシック" w:hAnsi="游ゴシック" w:eastAsia="游ゴシック"/>
                <w:sz w:val="18"/>
              </w:rPr>
              <w:t>H06・H07・H11・H13・H14</w:t>
            </w:r>
          </w:p>
        </w:tc>
        <w:tc>
          <w:tcPr>
            <w:tcW w:type="dxa" w:w="1757"/>
          </w:tcPr>
          <w:p>
            <w:r/>
            <w:r>
              <w:rPr>
                <w:rFonts w:ascii="游ゴシック" w:hAnsi="游ゴシック" w:eastAsia="游ゴシック"/>
                <w:sz w:val="18"/>
              </w:rPr>
              <w:t>分析開始前</w:t>
            </w:r>
          </w:p>
        </w:tc>
      </w:tr>
      <w:tr>
        <w:tc>
          <w:tcPr>
            <w:tcW w:type="dxa" w:w="850"/>
          </w:tcPr>
          <w:p>
            <w:r/>
            <w:r>
              <w:rPr>
                <w:rFonts w:ascii="游ゴシック" w:hAnsi="游ゴシック" w:eastAsia="游ゴシック"/>
                <w:sz w:val="18"/>
              </w:rPr>
              <w:t>高</w:t>
            </w:r>
          </w:p>
        </w:tc>
        <w:tc>
          <w:tcPr>
            <w:tcW w:type="dxa" w:w="3685"/>
          </w:tcPr>
          <w:p>
            <w:r/>
            <w:r>
              <w:rPr>
                <w:rFonts w:ascii="游ゴシック" w:hAnsi="游ゴシック" w:eastAsia="游ゴシック"/>
                <w:sz w:val="18"/>
              </w:rPr>
              <w:t>上川中部高齢者保健福祉圏域に関する北海道の調整方針・圏域連絡協議会の資料</w:t>
            </w:r>
          </w:p>
        </w:tc>
        <w:tc>
          <w:tcPr>
            <w:tcW w:type="dxa" w:w="3118"/>
          </w:tcPr>
          <w:p>
            <w:r/>
            <w:r>
              <w:rPr>
                <w:rFonts w:ascii="游ゴシック" w:hAnsi="游ゴシック" w:eastAsia="游ゴシック"/>
                <w:sz w:val="18"/>
              </w:rPr>
              <w:t>圏域単位のサービス基盤の調整、医療計画との整合</w:t>
            </w:r>
          </w:p>
        </w:tc>
        <w:tc>
          <w:tcPr>
            <w:tcW w:type="dxa" w:w="1757"/>
          </w:tcPr>
          <w:p>
            <w:r/>
            <w:r>
              <w:rPr>
                <w:rFonts w:ascii="游ゴシック" w:hAnsi="游ゴシック" w:eastAsia="游ゴシック"/>
                <w:sz w:val="18"/>
              </w:rPr>
              <w:t>第1回委員会前</w:t>
            </w:r>
          </w:p>
        </w:tc>
      </w:tr>
      <w:tr>
        <w:tc>
          <w:tcPr>
            <w:tcW w:type="dxa" w:w="850"/>
          </w:tcPr>
          <w:p>
            <w:r/>
            <w:r>
              <w:rPr>
                <w:rFonts w:ascii="游ゴシック" w:hAnsi="游ゴシック" w:eastAsia="游ゴシック"/>
                <w:sz w:val="18"/>
              </w:rPr>
              <w:t>高</w:t>
            </w:r>
          </w:p>
        </w:tc>
        <w:tc>
          <w:tcPr>
            <w:tcW w:type="dxa" w:w="3685"/>
          </w:tcPr>
          <w:p>
            <w:r/>
            <w:r>
              <w:rPr>
                <w:rFonts w:ascii="游ゴシック" w:hAnsi="游ゴシック" w:eastAsia="游ゴシック"/>
                <w:sz w:val="18"/>
              </w:rPr>
              <w:t>死亡場所別の死亡数（自宅・施設・医療機関別）</w:t>
            </w:r>
          </w:p>
        </w:tc>
        <w:tc>
          <w:tcPr>
            <w:tcW w:type="dxa" w:w="3118"/>
          </w:tcPr>
          <w:p>
            <w:r/>
            <w:r>
              <w:rPr>
                <w:rFonts w:ascii="游ゴシック" w:hAnsi="游ゴシック" w:eastAsia="游ゴシック"/>
                <w:sz w:val="18"/>
              </w:rPr>
              <w:t>基本指針の新別表 三 人口動態への対応、在宅看取りの実態把握</w:t>
            </w:r>
          </w:p>
        </w:tc>
        <w:tc>
          <w:tcPr>
            <w:tcW w:type="dxa" w:w="1757"/>
          </w:tcPr>
          <w:p>
            <w:r/>
            <w:r>
              <w:rPr>
                <w:rFonts w:ascii="游ゴシック" w:hAnsi="游ゴシック" w:eastAsia="游ゴシック"/>
                <w:sz w:val="18"/>
              </w:rPr>
              <w:t>現状分析前</w:t>
            </w:r>
          </w:p>
        </w:tc>
      </w:tr>
      <w:tr>
        <w:tc>
          <w:tcPr>
            <w:tcW w:type="dxa" w:w="850"/>
          </w:tcPr>
          <w:p>
            <w:r/>
            <w:r>
              <w:rPr>
                <w:rFonts w:ascii="游ゴシック" w:hAnsi="游ゴシック" w:eastAsia="游ゴシック"/>
                <w:sz w:val="18"/>
              </w:rPr>
              <w:t>高</w:t>
            </w:r>
          </w:p>
        </w:tc>
        <w:tc>
          <w:tcPr>
            <w:tcW w:type="dxa" w:w="3685"/>
          </w:tcPr>
          <w:p>
            <w:r/>
            <w:r>
              <w:rPr>
                <w:rFonts w:ascii="游ゴシック" w:hAnsi="游ゴシック" w:eastAsia="游ゴシック"/>
                <w:sz w:val="18"/>
              </w:rPr>
              <w:t>有料老人ホーム・サービス付き高齢者向け住宅の施設数・戸数・定員・入居者数・要介護者の状況</w:t>
            </w:r>
          </w:p>
        </w:tc>
        <w:tc>
          <w:tcPr>
            <w:tcW w:type="dxa" w:w="3118"/>
          </w:tcPr>
          <w:p>
            <w:r/>
            <w:r>
              <w:rPr>
                <w:rFonts w:ascii="游ゴシック" w:hAnsi="游ゴシック" w:eastAsia="游ゴシック"/>
                <w:sz w:val="18"/>
              </w:rPr>
              <w:t>基本指針の新別表 八への対応。第10期は基本的記載事項に「要介護者等の入居状況」が追加される</w:t>
            </w:r>
          </w:p>
        </w:tc>
        <w:tc>
          <w:tcPr>
            <w:tcW w:type="dxa" w:w="1757"/>
          </w:tcPr>
          <w:p>
            <w:r/>
            <w:r>
              <w:rPr>
                <w:rFonts w:ascii="游ゴシック" w:hAnsi="游ゴシック" w:eastAsia="游ゴシック"/>
                <w:sz w:val="18"/>
              </w:rPr>
              <w:t>現状分析前</w:t>
            </w:r>
          </w:p>
        </w:tc>
      </w:tr>
      <w:tr>
        <w:tc>
          <w:tcPr>
            <w:tcW w:type="dxa" w:w="850"/>
          </w:tcPr>
          <w:p>
            <w:r/>
            <w:r>
              <w:rPr>
                <w:rFonts w:ascii="游ゴシック" w:hAnsi="游ゴシック" w:eastAsia="游ゴシック"/>
                <w:sz w:val="18"/>
              </w:rPr>
              <w:t>高</w:t>
            </w:r>
          </w:p>
        </w:tc>
        <w:tc>
          <w:tcPr>
            <w:tcW w:type="dxa" w:w="3685"/>
          </w:tcPr>
          <w:p>
            <w:r/>
            <w:r>
              <w:rPr>
                <w:rFonts w:ascii="游ゴシック" w:hAnsi="游ゴシック" w:eastAsia="游ゴシック"/>
                <w:sz w:val="18"/>
              </w:rPr>
              <w:t>所得段階別被保険者数、地域支援事業費の予算前提</w:t>
            </w:r>
          </w:p>
        </w:tc>
        <w:tc>
          <w:tcPr>
            <w:tcW w:type="dxa" w:w="3118"/>
          </w:tcPr>
          <w:p>
            <w:r/>
            <w:r>
              <w:rPr>
                <w:rFonts w:ascii="游ゴシック" w:hAnsi="游ゴシック" w:eastAsia="游ゴシック"/>
                <w:sz w:val="18"/>
              </w:rPr>
              <w:t>第6章の保険料試算</w:t>
            </w:r>
          </w:p>
        </w:tc>
        <w:tc>
          <w:tcPr>
            <w:tcW w:type="dxa" w:w="1757"/>
          </w:tcPr>
          <w:p>
            <w:r/>
            <w:r>
              <w:rPr>
                <w:rFonts w:ascii="游ゴシック" w:hAnsi="游ゴシック" w:eastAsia="游ゴシック"/>
                <w:sz w:val="18"/>
              </w:rPr>
              <w:t>保険料試算前</w:t>
            </w:r>
          </w:p>
        </w:tc>
      </w:tr>
      <w:tr>
        <w:tc>
          <w:tcPr>
            <w:tcW w:type="dxa" w:w="850"/>
          </w:tcPr>
          <w:p>
            <w:r/>
            <w:r>
              <w:rPr>
                <w:rFonts w:ascii="游ゴシック" w:hAnsi="游ゴシック" w:eastAsia="游ゴシック"/>
                <w:sz w:val="18"/>
              </w:rPr>
              <w:t>高</w:t>
            </w:r>
          </w:p>
        </w:tc>
        <w:tc>
          <w:tcPr>
            <w:tcW w:type="dxa" w:w="3685"/>
          </w:tcPr>
          <w:p>
            <w:r/>
            <w:r>
              <w:rPr>
                <w:rFonts w:ascii="游ゴシック" w:hAnsi="游ゴシック" w:eastAsia="游ゴシック"/>
                <w:sz w:val="18"/>
              </w:rPr>
              <w:t>令和6・7年度の認定者・受給者・給付費（町別・サービス別）</w:t>
            </w:r>
          </w:p>
        </w:tc>
        <w:tc>
          <w:tcPr>
            <w:tcW w:type="dxa" w:w="3118"/>
          </w:tcPr>
          <w:p>
            <w:r/>
            <w:r>
              <w:rPr>
                <w:rFonts w:ascii="游ゴシック" w:hAnsi="游ゴシック" w:eastAsia="游ゴシック"/>
                <w:sz w:val="18"/>
              </w:rPr>
              <w:t>推計の再基準化、町別分析</w:t>
            </w:r>
          </w:p>
        </w:tc>
        <w:tc>
          <w:tcPr>
            <w:tcW w:type="dxa" w:w="1757"/>
          </w:tcPr>
          <w:p>
            <w:r/>
            <w:r>
              <w:rPr>
                <w:rFonts w:ascii="游ゴシック" w:hAnsi="游ゴシック" w:eastAsia="游ゴシック"/>
                <w:sz w:val="18"/>
              </w:rPr>
              <w:t>再基準化前</w:t>
            </w:r>
          </w:p>
        </w:tc>
      </w:tr>
      <w:tr>
        <w:tc>
          <w:tcPr>
            <w:tcW w:type="dxa" w:w="850"/>
          </w:tcPr>
          <w:p>
            <w:r/>
            <w:r>
              <w:rPr>
                <w:rFonts w:ascii="游ゴシック" w:hAnsi="游ゴシック" w:eastAsia="游ゴシック"/>
                <w:sz w:val="18"/>
              </w:rPr>
              <w:t>高</w:t>
            </w:r>
          </w:p>
        </w:tc>
        <w:tc>
          <w:tcPr>
            <w:tcW w:type="dxa" w:w="3685"/>
          </w:tcPr>
          <w:p>
            <w:r/>
            <w:r>
              <w:rPr>
                <w:rFonts w:ascii="游ゴシック" w:hAnsi="游ゴシック" w:eastAsia="游ゴシック"/>
                <w:sz w:val="18"/>
              </w:rPr>
              <w:t>3町の高齢者福祉計画の第10期検討資料、策定工程、担当課</w:t>
            </w:r>
          </w:p>
        </w:tc>
        <w:tc>
          <w:tcPr>
            <w:tcW w:type="dxa" w:w="3118"/>
          </w:tcPr>
          <w:p>
            <w:r/>
            <w:r>
              <w:rPr>
                <w:rFonts w:ascii="游ゴシック" w:hAnsi="游ゴシック" w:eastAsia="游ゴシック"/>
                <w:sz w:val="18"/>
              </w:rPr>
              <w:t>計画間の整合、共通KPIの町別集計</w:t>
            </w:r>
          </w:p>
        </w:tc>
        <w:tc>
          <w:tcPr>
            <w:tcW w:type="dxa" w:w="1757"/>
          </w:tcPr>
          <w:p>
            <w:r/>
            <w:r>
              <w:rPr>
                <w:rFonts w:ascii="游ゴシック" w:hAnsi="游ゴシック" w:eastAsia="游ゴシック"/>
                <w:sz w:val="18"/>
              </w:rPr>
              <w:t>3町調整前</w:t>
            </w:r>
          </w:p>
        </w:tc>
      </w:tr>
      <w:tr>
        <w:tc>
          <w:tcPr>
            <w:tcW w:type="dxa" w:w="850"/>
          </w:tcPr>
          <w:p>
            <w:r/>
            <w:r>
              <w:rPr>
                <w:rFonts w:ascii="游ゴシック" w:hAnsi="游ゴシック" w:eastAsia="游ゴシック"/>
                <w:sz w:val="18"/>
              </w:rPr>
              <w:t>中</w:t>
            </w:r>
          </w:p>
        </w:tc>
        <w:tc>
          <w:tcPr>
            <w:tcW w:type="dxa" w:w="3685"/>
          </w:tcPr>
          <w:p>
            <w:r/>
            <w:r>
              <w:rPr>
                <w:rFonts w:ascii="游ゴシック" w:hAnsi="游ゴシック" w:eastAsia="游ゴシック"/>
                <w:sz w:val="18"/>
              </w:rPr>
              <w:t>住民基本台帳による町別・年齢階級別人口（平成24〜令和7年）</w:t>
            </w:r>
          </w:p>
        </w:tc>
        <w:tc>
          <w:tcPr>
            <w:tcW w:type="dxa" w:w="3118"/>
          </w:tcPr>
          <w:p>
            <w:r/>
            <w:r>
              <w:rPr>
                <w:rFonts w:ascii="游ゴシック" w:hAnsi="游ゴシック" w:eastAsia="游ゴシック"/>
                <w:sz w:val="18"/>
              </w:rPr>
              <w:t>人口推移の町別年齢別グラフ（現在は平成24年と令和5年の2時点のみ）</w:t>
            </w:r>
          </w:p>
        </w:tc>
        <w:tc>
          <w:tcPr>
            <w:tcW w:type="dxa" w:w="1757"/>
          </w:tcPr>
          <w:p>
            <w:r/>
            <w:r>
              <w:rPr>
                <w:rFonts w:ascii="游ゴシック" w:hAnsi="游ゴシック" w:eastAsia="游ゴシック"/>
                <w:sz w:val="18"/>
              </w:rPr>
              <w:t>現状分析前</w:t>
            </w:r>
          </w:p>
        </w:tc>
      </w:tr>
      <w:tr>
        <w:tc>
          <w:tcPr>
            <w:tcW w:type="dxa" w:w="850"/>
          </w:tcPr>
          <w:p>
            <w:r/>
            <w:r>
              <w:rPr>
                <w:rFonts w:ascii="游ゴシック" w:hAnsi="游ゴシック" w:eastAsia="游ゴシック"/>
                <w:sz w:val="18"/>
              </w:rPr>
              <w:t>中</w:t>
            </w:r>
          </w:p>
        </w:tc>
        <w:tc>
          <w:tcPr>
            <w:tcW w:type="dxa" w:w="3685"/>
          </w:tcPr>
          <w:p>
            <w:r/>
            <w:r>
              <w:rPr>
                <w:rFonts w:ascii="游ゴシック" w:hAnsi="游ゴシック" w:eastAsia="游ゴシック"/>
                <w:sz w:val="18"/>
              </w:rPr>
              <w:t>指定事業所台帳（サービス別・定員・開設廃止年月）</w:t>
            </w:r>
          </w:p>
        </w:tc>
        <w:tc>
          <w:tcPr>
            <w:tcW w:type="dxa" w:w="3118"/>
          </w:tcPr>
          <w:p>
            <w:r/>
            <w:r>
              <w:rPr>
                <w:rFonts w:ascii="游ゴシック" w:hAnsi="游ゴシック" w:eastAsia="游ゴシック"/>
                <w:sz w:val="18"/>
              </w:rPr>
              <w:t>供給の実数の推移、休廃止の把握（確認事項1・3）</w:t>
            </w:r>
          </w:p>
        </w:tc>
        <w:tc>
          <w:tcPr>
            <w:tcW w:type="dxa" w:w="1757"/>
          </w:tcPr>
          <w:p>
            <w:r/>
            <w:r>
              <w:rPr>
                <w:rFonts w:ascii="游ゴシック" w:hAnsi="游ゴシック" w:eastAsia="游ゴシック"/>
                <w:sz w:val="18"/>
              </w:rPr>
              <w:t>現状分析前</w:t>
            </w:r>
          </w:p>
        </w:tc>
      </w:tr>
      <w:tr>
        <w:tc>
          <w:tcPr>
            <w:tcW w:type="dxa" w:w="850"/>
          </w:tcPr>
          <w:p>
            <w:r/>
            <w:r>
              <w:rPr>
                <w:rFonts w:ascii="游ゴシック" w:hAnsi="游ゴシック" w:eastAsia="游ゴシック"/>
                <w:sz w:val="18"/>
              </w:rPr>
              <w:t>中</w:t>
            </w:r>
          </w:p>
        </w:tc>
        <w:tc>
          <w:tcPr>
            <w:tcW w:type="dxa" w:w="3685"/>
          </w:tcPr>
          <w:p>
            <w:r/>
            <w:r>
              <w:rPr>
                <w:rFonts w:ascii="游ゴシック" w:hAnsi="游ゴシック" w:eastAsia="游ゴシック"/>
                <w:sz w:val="18"/>
              </w:rPr>
              <w:t>委員会日程、審議事項、資料提出期限、パブリックコメント期間、町別値・少数値の公表基準</w:t>
            </w:r>
          </w:p>
        </w:tc>
        <w:tc>
          <w:tcPr>
            <w:tcW w:type="dxa" w:w="3118"/>
          </w:tcPr>
          <w:p>
            <w:r/>
            <w:r>
              <w:rPr>
                <w:rFonts w:ascii="游ゴシック" w:hAnsi="游ゴシック" w:eastAsia="游ゴシック"/>
                <w:sz w:val="18"/>
              </w:rPr>
              <w:t>工程表の確定、資料作成</w:t>
            </w:r>
          </w:p>
        </w:tc>
        <w:tc>
          <w:tcPr>
            <w:tcW w:type="dxa" w:w="1757"/>
          </w:tcPr>
          <w:p>
            <w:r/>
            <w:r>
              <w:rPr>
                <w:rFonts w:ascii="游ゴシック" w:hAnsi="游ゴシック" w:eastAsia="游ゴシック"/>
                <w:sz w:val="18"/>
              </w:rPr>
              <w:t>資料作成前</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18"/>
        </w:rPr>
        <w:t>※　第10期介護保険事業（支援）計画の基本指針につきましては、令和8年6月29日の社会保障審議会介護保険部会（第135回）に案が示されておりますが、告示前のため、告示後に改めて記載事項の網羅性を確認いたします。</w:t>
      </w:r>
    </w:p>
    <w:p>
      <w:r>
        <w:br w:type="page"/>
      </w:r>
    </w:p>
    <w:p>
      <w:pPr>
        <w:spacing w:after="120" w:before="200"/>
      </w:pPr>
      <w:r>
        <w:rPr>
          <w:rFonts w:ascii="游ゴシック" w:hAnsi="游ゴシック" w:eastAsia="游ゴシック"/>
          <w:b/>
          <w:sz w:val="24"/>
        </w:rPr>
        <w:t>４　参考：精査及び妥当性検証により確認できた主な事実</w:t>
      </w:r>
    </w:p>
    <w:p>
      <w:pPr>
        <w:spacing w:after="80"/>
      </w:pPr>
      <w:r>
        <w:rPr>
          <w:rFonts w:ascii="游ゴシック" w:hAnsi="游ゴシック" w:eastAsia="游ゴシック"/>
          <w:b w:val="0"/>
          <w:sz w:val="19"/>
        </w:rPr>
        <w:t>ご判断の材料として、これまでに確認できた事実を整理いたします。</w:t>
      </w:r>
    </w:p>
    <w:tbl>
      <w:tblPr>
        <w:tblStyle w:val="TableGrid"/>
        <w:tblW w:type="auto" w:w="0"/>
        <w:jc w:val="center"/>
        <w:tblLook w:firstColumn="1" w:firstRow="1" w:lastColumn="0" w:lastRow="0" w:noHBand="0" w:noVBand="1" w:val="04A0"/>
      </w:tblPr>
      <w:tblGrid>
        <w:gridCol w:w="5100"/>
        <w:gridCol w:w="5100"/>
      </w:tblGrid>
      <w:tr>
        <w:tc>
          <w:tcPr>
            <w:tcW w:type="dxa" w:w="1928"/>
          </w:tcPr>
          <w:p>
            <w:r/>
            <w:r>
              <w:rPr>
                <w:rFonts w:ascii="游ゴシック" w:hAnsi="游ゴシック" w:eastAsia="游ゴシック"/>
                <w:b/>
                <w:sz w:val="18"/>
              </w:rPr>
              <w:t>区分</w:t>
            </w:r>
          </w:p>
        </w:tc>
        <w:tc>
          <w:tcPr>
            <w:tcW w:type="dxa" w:w="7597"/>
          </w:tcPr>
          <w:p>
            <w:r/>
            <w:r>
              <w:rPr>
                <w:rFonts w:ascii="游ゴシック" w:hAnsi="游ゴシック" w:eastAsia="游ゴシック"/>
                <w:b/>
                <w:sz w:val="18"/>
              </w:rPr>
              <w:t>内容</w:t>
            </w:r>
          </w:p>
        </w:tc>
      </w:tr>
      <w:tr>
        <w:tc>
          <w:tcPr>
            <w:tcW w:type="dxa" w:w="1928"/>
          </w:tcPr>
          <w:p>
            <w:r/>
            <w:r>
              <w:rPr>
                <w:rFonts w:ascii="游ゴシック" w:hAnsi="游ゴシック" w:eastAsia="游ゴシック"/>
                <w:sz w:val="18"/>
              </w:rPr>
              <w:t>第9期の代表KPIの達成状況</w:t>
            </w:r>
          </w:p>
        </w:tc>
        <w:tc>
          <w:tcPr>
            <w:tcW w:type="dxa" w:w="7597"/>
          </w:tcPr>
          <w:p>
            <w:r/>
            <w:r>
              <w:rPr>
                <w:rFonts w:ascii="游ゴシック" w:hAnsi="游ゴシック" w:eastAsia="游ゴシック"/>
                <w:sz w:val="18"/>
              </w:rPr>
              <w:t>①要介護認定率は令和8年3月末21.8％で、目標（令和5年度実績20.8％の維持）を1.0ポイント上回り未達です。ただし第9期計画自身の推計（令和8年度22.0％）は0.2ポイント下回っており、平成30年3月末からの上昇幅も大雪＋1.0ポイントに対し北海道・全国はいずれも＋2.2ポイントで、上昇幅は全国の半分にとどまります。②重度要介護認定率は6.3％で目標6.4％・推計7.0％をいずれも下回り達成です。③フレイル該当割合は19.1％で目標18.0％に1.1ポイント未達ですが、基準値18.5％との差＋0.6ポイントは統計的に有意ではありません。④通いの場参加率は8.8％で、国の目標水準8％（令和7年度）は達成し、自主目標9.0％に0.2ポイント未達です。基準値7.3％からの上昇は統計的に有意です。</w:t>
            </w:r>
          </w:p>
        </w:tc>
      </w:tr>
      <w:tr>
        <w:tc>
          <w:tcPr>
            <w:tcW w:type="dxa" w:w="1928"/>
          </w:tcPr>
          <w:p>
            <w:r/>
            <w:r>
              <w:rPr>
                <w:rFonts w:ascii="游ゴシック" w:hAnsi="游ゴシック" w:eastAsia="游ゴシック"/>
                <w:sz w:val="18"/>
              </w:rPr>
              <w:t>給付水準の要因</w:t>
            </w:r>
          </w:p>
        </w:tc>
        <w:tc>
          <w:tcPr>
            <w:tcW w:type="dxa" w:w="7597"/>
          </w:tcPr>
          <w:p>
            <w:r/>
            <w:r>
              <w:rPr>
                <w:rFonts w:ascii="游ゴシック" w:hAnsi="游ゴシック" w:eastAsia="游ゴシック"/>
                <w:sz w:val="18"/>
              </w:rPr>
              <w:t>見える化の地域差指数（令和5年・全国＝1.00）は、第1号1人あたり給付月額1.08、受給率1.08、受給者1人あたり給付月額1.06に対し、性年齢調整後の認定率は1.02です。受給率の内訳（令和7年）は在宅が全国比1.02、施設および居住系が同1.23で、超過分はほぼ全て施設・居住系に由来します。</w:t>
            </w:r>
          </w:p>
        </w:tc>
      </w:tr>
      <w:tr>
        <w:tc>
          <w:tcPr>
            <w:tcW w:type="dxa" w:w="1928"/>
          </w:tcPr>
          <w:p>
            <w:r/>
            <w:r>
              <w:rPr>
                <w:rFonts w:ascii="游ゴシック" w:hAnsi="游ゴシック" w:eastAsia="游ゴシック"/>
                <w:sz w:val="18"/>
              </w:rPr>
              <w:t>施設・居住系受給率の推移</w:t>
            </w:r>
          </w:p>
        </w:tc>
        <w:tc>
          <w:tcPr>
            <w:tcW w:type="dxa" w:w="7597"/>
          </w:tcPr>
          <w:p>
            <w:r/>
            <w:r>
              <w:rPr>
                <w:rFonts w:ascii="游ゴシック" w:hAnsi="游ゴシック" w:eastAsia="游ゴシック"/>
                <w:sz w:val="18"/>
              </w:rPr>
              <w:t>施設および居住系サービス受給率は、大雪が平成27年度6.10％から令和7年度5.25％へ低下する一方、全国は4.03％から4.30％へ上昇しております。全国との差は平成26年度1.98ポイントから令和7年度0.95ポイントへ半減しました。</w:t>
            </w:r>
          </w:p>
        </w:tc>
      </w:tr>
      <w:tr>
        <w:tc>
          <w:tcPr>
            <w:tcW w:type="dxa" w:w="1928"/>
          </w:tcPr>
          <w:p>
            <w:r/>
            <w:r>
              <w:rPr>
                <w:rFonts w:ascii="游ゴシック" w:hAnsi="游ゴシック" w:eastAsia="游ゴシック"/>
                <w:sz w:val="18"/>
              </w:rPr>
              <w:t>サービス別の給付動向</w:t>
            </w:r>
          </w:p>
        </w:tc>
        <w:tc>
          <w:tcPr>
            <w:tcW w:type="dxa" w:w="7597"/>
          </w:tcPr>
          <w:p>
            <w:r/>
            <w:r>
              <w:rPr>
                <w:rFonts w:ascii="游ゴシック" w:hAnsi="游ゴシック" w:eastAsia="游ゴシック"/>
                <w:sz w:val="18"/>
              </w:rPr>
              <w:t>平成30年度から令和7年度の第1号1人あたり給付月額は、訪問看護＋69.2％、訪問介護＋52.8％、通所リハビリテーション＋38.6％、福祉用具貸与＋36.4％と訪問系・用具系が伸びる一方、地域密着型通所介護▲27.0％、認知症対応型共同生活介護▲10.5％、通所介護▲2.7％と通所系・居住系が縮小しております。必要保険料の内訳も在宅＋20.4％、居住系▲7.8％、施設▲2.9％と同じ方向です。</w:t>
            </w:r>
          </w:p>
        </w:tc>
      </w:tr>
      <w:tr>
        <w:tc>
          <w:tcPr>
            <w:tcW w:type="dxa" w:w="1928"/>
          </w:tcPr>
          <w:p>
            <w:r/>
            <w:r>
              <w:rPr>
                <w:rFonts w:ascii="游ゴシック" w:hAnsi="游ゴシック" w:eastAsia="游ゴシック"/>
                <w:sz w:val="18"/>
              </w:rPr>
              <w:t>供給の縮小</w:t>
            </w:r>
          </w:p>
        </w:tc>
        <w:tc>
          <w:tcPr>
            <w:tcW w:type="dxa" w:w="7597"/>
          </w:tcPr>
          <w:p>
            <w:r/>
            <w:r>
              <w:rPr>
                <w:rFonts w:ascii="游ゴシック" w:hAnsi="游ゴシック" w:eastAsia="游ゴシック"/>
                <w:sz w:val="18"/>
              </w:rPr>
              <w:t>要支援・要介護者1人あたり定員は、施設サービス計が平成30年度0.288人から令和7年度0.237人へ17.7％減、うち介護老人福祉施設は0.126人から0.082人へ34.9％減です。居住系計も0.146人から0.131人へ10.3％減です。</w:t>
            </w:r>
          </w:p>
        </w:tc>
      </w:tr>
      <w:tr>
        <w:tc>
          <w:tcPr>
            <w:tcW w:type="dxa" w:w="1928"/>
          </w:tcPr>
          <w:p>
            <w:r/>
            <w:r>
              <w:rPr>
                <w:rFonts w:ascii="游ゴシック" w:hAnsi="游ゴシック" w:eastAsia="游ゴシック"/>
                <w:sz w:val="18"/>
              </w:rPr>
              <w:t>重度者の在宅化</w:t>
            </w:r>
          </w:p>
        </w:tc>
        <w:tc>
          <w:tcPr>
            <w:tcW w:type="dxa" w:w="7597"/>
          </w:tcPr>
          <w:p>
            <w:r/>
            <w:r>
              <w:rPr>
                <w:rFonts w:ascii="游ゴシック" w:hAnsi="游ゴシック" w:eastAsia="游ゴシック"/>
                <w:sz w:val="18"/>
              </w:rPr>
              <w:t>在宅・居住系サービス利用者割合は要介護5が平成26年度31.3％から令和7年度54.6％へ23.3ポイント上昇し、要介護4も42.9％（平成30年度）から49.1％へ上昇しております。全体では73.3％から77.5％です。</w:t>
            </w:r>
          </w:p>
        </w:tc>
      </w:tr>
      <w:tr>
        <w:tc>
          <w:tcPr>
            <w:tcW w:type="dxa" w:w="1928"/>
          </w:tcPr>
          <w:p>
            <w:r/>
            <w:r>
              <w:rPr>
                <w:rFonts w:ascii="游ゴシック" w:hAnsi="游ゴシック" w:eastAsia="游ゴシック"/>
                <w:sz w:val="18"/>
              </w:rPr>
              <w:t>需要推計の精度</w:t>
            </w:r>
          </w:p>
        </w:tc>
        <w:tc>
          <w:tcPr>
            <w:tcW w:type="dxa" w:w="7597"/>
          </w:tcPr>
          <w:p>
            <w:r/>
            <w:r>
              <w:rPr>
                <w:rFonts w:ascii="游ゴシック" w:hAnsi="游ゴシック" w:eastAsia="游ゴシック"/>
                <w:sz w:val="18"/>
              </w:rPr>
              <w:t>第9期計画の要介護認定者数の推計（令和6年度2,020人・令和7年度2,056人）に対し、実績は1,962人・1,984人で、2年連続で計画を2.9％・3.5％下回っております。</w:t>
            </w:r>
          </w:p>
        </w:tc>
      </w:tr>
      <w:tr>
        <w:tc>
          <w:tcPr>
            <w:tcW w:type="dxa" w:w="1928"/>
          </w:tcPr>
          <w:p>
            <w:r/>
            <w:r>
              <w:rPr>
                <w:rFonts w:ascii="游ゴシック" w:hAnsi="游ゴシック" w:eastAsia="游ゴシック"/>
                <w:sz w:val="18"/>
              </w:rPr>
              <w:t>保険料の設定</w:t>
            </w:r>
          </w:p>
        </w:tc>
        <w:tc>
          <w:tcPr>
            <w:tcW w:type="dxa" w:w="7597"/>
          </w:tcPr>
          <w:p>
            <w:r/>
            <w:r>
              <w:rPr>
                <w:rFonts w:ascii="游ゴシック" w:hAnsi="游ゴシック" w:eastAsia="游ゴシック"/>
                <w:sz w:val="18"/>
              </w:rPr>
              <w:t>必要保険料月額と基準額の差は、第7期（平成30〜令和2年度）累計＋159円/月、第8期（令和3〜5年度）累計＋66円/月とほぼ均衡していたのに対し、第9期は令和6年度＋337円/月、令和7年度＋48円/月と剰余方向です。上川管内21保険者の単純平均は5,829.6円、中央値6,000円で、当広域連合の6,400円は高い方から5番目です（素案 表45の記載を再計算して一致を確認）。</w:t>
            </w:r>
          </w:p>
        </w:tc>
      </w:tr>
      <w:tr>
        <w:tc>
          <w:tcPr>
            <w:tcW w:type="dxa" w:w="1928"/>
          </w:tcPr>
          <w:p>
            <w:r/>
            <w:r>
              <w:rPr>
                <w:rFonts w:ascii="游ゴシック" w:hAnsi="游ゴシック" w:eastAsia="游ゴシック"/>
                <w:sz w:val="18"/>
              </w:rPr>
              <w:t>自然体推計</w:t>
            </w:r>
          </w:p>
        </w:tc>
        <w:tc>
          <w:tcPr>
            <w:tcW w:type="dxa" w:w="7597"/>
          </w:tcPr>
          <w:p>
            <w:r/>
            <w:r>
              <w:rPr>
                <w:rFonts w:ascii="游ゴシック" w:hAnsi="游ゴシック" w:eastAsia="游ゴシック"/>
                <w:sz w:val="18"/>
              </w:rPr>
              <w:t>見える化の推計ワークシートと素案の数値が完全に一致することを確認しました（保険料6,237.77円、総給付費R9 3,056.7百万円ほか）。令和7年のサービス種類別の合計（在宅12,558円＋施設および居住系14,327円＝26,885円）も、見える化C1の第1号1人あたり保険給付月額と一致しております。</w:t>
            </w:r>
          </w:p>
        </w:tc>
      </w:tr>
      <w:tr>
        <w:tc>
          <w:tcPr>
            <w:tcW w:type="dxa" w:w="1928"/>
          </w:tcPr>
          <w:p>
            <w:r/>
            <w:r>
              <w:rPr>
                <w:rFonts w:ascii="游ゴシック" w:hAnsi="游ゴシック" w:eastAsia="游ゴシック"/>
                <w:sz w:val="18"/>
              </w:rPr>
              <w:t>担い手の減少</w:t>
            </w:r>
          </w:p>
        </w:tc>
        <w:tc>
          <w:tcPr>
            <w:tcW w:type="dxa" w:w="7597"/>
          </w:tcPr>
          <w:p>
            <w:r/>
            <w:r>
              <w:rPr>
                <w:rFonts w:ascii="游ゴシック" w:hAnsi="游ゴシック" w:eastAsia="游ゴシック"/>
                <w:sz w:val="18"/>
              </w:rPr>
              <w:t>高齢者1人あたり現役世代数は広域連合全体で令和22年1.2人、令和32年1.0人。美瑛町は令和22年1.0人、令和32年0.9人となり高齢者が現役世代を上回ります。</w:t>
            </w:r>
          </w:p>
        </w:tc>
      </w:tr>
      <w:tr>
        <w:tc>
          <w:tcPr>
            <w:tcW w:type="dxa" w:w="1928"/>
          </w:tcPr>
          <w:p>
            <w:r/>
            <w:r>
              <w:rPr>
                <w:rFonts w:ascii="游ゴシック" w:hAnsi="游ゴシック" w:eastAsia="游ゴシック"/>
                <w:sz w:val="18"/>
              </w:rPr>
              <w:t>小標本調査の扱い</w:t>
            </w:r>
          </w:p>
        </w:tc>
        <w:tc>
          <w:tcPr>
            <w:tcW w:type="dxa" w:w="7597"/>
          </w:tcPr>
          <w:p>
            <w:r/>
            <w:r>
              <w:rPr>
                <w:rFonts w:ascii="游ゴシック" w:hAnsi="游ゴシック" w:eastAsia="游ゴシック"/>
                <w:sz w:val="18"/>
              </w:rPr>
              <w:t>第9期計画の在宅介護実態調査（対象79人・回答37人）・在宅生活改善調査（対象15事業所・回答12事業所）について、計画本文が記述した15項目の差分を検定したところ、統計的に有意なのは3項目のみでした。第10期では回答数nと信頼区間を各図表に明記し、小標本の差分は断定しないことを提案いたします。</w:t>
            </w:r>
          </w:p>
        </w:tc>
      </w:tr>
      <w:tr>
        <w:tc>
          <w:tcPr>
            <w:tcW w:type="dxa" w:w="1928"/>
          </w:tcPr>
          <w:p>
            <w:r/>
            <w:r>
              <w:rPr>
                <w:rFonts w:ascii="游ゴシック" w:hAnsi="游ゴシック" w:eastAsia="游ゴシック"/>
                <w:sz w:val="18"/>
              </w:rPr>
              <w:t>北海道の第9期計画との関係</w:t>
            </w:r>
          </w:p>
        </w:tc>
        <w:tc>
          <w:tcPr>
            <w:tcW w:type="dxa" w:w="7597"/>
          </w:tcPr>
          <w:p>
            <w:r/>
            <w:r>
              <w:rPr>
                <w:rFonts w:ascii="游ゴシック" w:hAnsi="游ゴシック" w:eastAsia="游ゴシック"/>
                <w:sz w:val="18"/>
              </w:rPr>
              <w:t>北海道は基本テーマ「道民みんなで支え合う、明るく活力に満ちた高齢社会づくり」のもとに8つの基本目標を設定し、それぞれに評価指標を置いております。うち①地域包括支援センター運営状況調査の評価結果（71.6％（R3）→全国平均値以上（R8））、②介護従事者の採用率と離職率の差（1.0％（R3）→全国平均以上（R8））、③介護給付適正化の主要3事業の全市町村実施（100％）の3項目は、既存の全国調査又は既存データで算定でき、測定手段が未確定の第10期KPIの代替又は補完に使えます。特に②は第9期の介護人材実態調査の採用者数・退職者数から算定でき、H13・H14の代替となります。</w:t>
            </w:r>
          </w:p>
        </w:tc>
      </w:tr>
      <w:tr>
        <w:tc>
          <w:tcPr>
            <w:tcW w:type="dxa" w:w="1928"/>
          </w:tcPr>
          <w:p>
            <w:r/>
            <w:r>
              <w:rPr>
                <w:rFonts w:ascii="游ゴシック" w:hAnsi="游ゴシック" w:eastAsia="游ゴシック"/>
                <w:sz w:val="18"/>
              </w:rPr>
              <w:t>上川中部圏域における位置</w:t>
            </w:r>
          </w:p>
        </w:tc>
        <w:tc>
          <w:tcPr>
            <w:tcW w:type="dxa" w:w="7597"/>
          </w:tcPr>
          <w:p>
            <w:r/>
            <w:r>
              <w:rPr>
                <w:rFonts w:ascii="游ゴシック" w:hAnsi="游ゴシック" w:eastAsia="游ゴシック"/>
                <w:sz w:val="18"/>
              </w:rPr>
              <w:t>北海道計画 第7章第12節によると、上川中部圏域（旭川市、鷹栖町、東神楽町、当麻町、比布町、愛別町、上川町、東川町、美瑛町、幌加内町）の総人口は377,136人で、構成3町の28,093人は圏域の7.4％です。調整済み給付月額の分布では、当広域連合は施設及び居住系が北海道10,504円に対し13,097円（R5）と24.7％上回る一方、在宅は8,918円に対し9,164円と2.8％上回る程度です。旭川市は逆に在宅が高く施設・居住系が低い構造で、住民の生活圏が重なるだけに住民説明で問われやすい点と考えております。</w:t>
            </w:r>
          </w:p>
        </w:tc>
      </w:tr>
      <w:tr>
        <w:tc>
          <w:tcPr>
            <w:tcW w:type="dxa" w:w="1928"/>
          </w:tcPr>
          <w:p>
            <w:r/>
            <w:r>
              <w:rPr>
                <w:rFonts w:ascii="游ゴシック" w:hAnsi="游ゴシック" w:eastAsia="游ゴシック"/>
                <w:sz w:val="18"/>
              </w:rPr>
              <w:t>圏域の24時間対応サービス</w:t>
            </w:r>
          </w:p>
        </w:tc>
        <w:tc>
          <w:tcPr>
            <w:tcW w:type="dxa" w:w="7597"/>
          </w:tcPr>
          <w:p>
            <w:r/>
            <w:r>
              <w:rPr>
                <w:rFonts w:ascii="游ゴシック" w:hAnsi="游ゴシック" w:eastAsia="游ゴシック"/>
                <w:sz w:val="18"/>
              </w:rPr>
              <w:t>上川中部圏域は定期巡回・随時対応型訪問介護看護を令和4年度実績59.1人/月から令和8年度68.0人/月へ、看護小規模多機能型居宅介護を同1.0人/月から101.0人/月へ見込んでおりますが、当広域連合はいずれも実質ゼロです（定期巡回の第1号1人あたり給付月額は令和7年度15円、看多機・夜間対応型は0円）。要介護5の在宅・居住系割合が54.6％に達している状況と併せ、第6章の整備方針の中心論点になると考えております。</w:t>
            </w:r>
          </w:p>
        </w:tc>
      </w:tr>
      <w:tr>
        <w:tc>
          <w:tcPr>
            <w:tcW w:type="dxa" w:w="1928"/>
          </w:tcPr>
          <w:p>
            <w:r/>
            <w:r>
              <w:rPr>
                <w:rFonts w:ascii="游ゴシック" w:hAnsi="游ゴシック" w:eastAsia="游ゴシック"/>
                <w:sz w:val="18"/>
              </w:rPr>
              <w:t>見える化の指標の受領状況</w:t>
            </w:r>
          </w:p>
        </w:tc>
        <w:tc>
          <w:tcPr>
            <w:tcW w:type="dxa" w:w="7597"/>
          </w:tcPr>
          <w:p>
            <w:r/>
            <w:r>
              <w:rPr>
                <w:rFonts w:ascii="游ゴシック" w:hAnsi="游ゴシック" w:eastAsia="游ゴシック"/>
                <w:sz w:val="18"/>
              </w:rPr>
              <w:t>このたびご提供いただいた「指標リスト（目的別）」により、見える化システムの指標は全906件で、当方が受領しているのはA・B・C・D・P系列の182件（20.1％）であることを確認いたしました。未受領のδ系列（地域分析・自給率）、F系列（地域支援事業）、H系列（介護人材の必要数）、J系列（認知症施策）、K系列（事業所数）、L・M・N・O系列（医療介護連携・従事者数・リハビリ）、W系列（交付金評価指標）に、基本指針の新別表11事項の大半と、測定手段が未確定であったKPIの代替指標が含まれておりました。特に、①介護サービス自給率はδ2・δ3として、②総合事業ベースの通いの場参加率はF4として、③介護人材の必要数はH1・H2として既に整備されており、いずれも再出力で取得できます。</w:t>
            </w:r>
          </w:p>
        </w:tc>
      </w:tr>
      <w:tr>
        <w:tc>
          <w:tcPr>
            <w:tcW w:type="dxa" w:w="1928"/>
          </w:tcPr>
          <w:p>
            <w:r/>
            <w:r>
              <w:rPr>
                <w:rFonts w:ascii="游ゴシック" w:hAnsi="游ゴシック" w:eastAsia="游ゴシック"/>
                <w:sz w:val="18"/>
              </w:rPr>
              <w:t>見える化にまだない指標</w:t>
            </w:r>
          </w:p>
        </w:tc>
        <w:tc>
          <w:tcPr>
            <w:tcW w:type="dxa" w:w="7597"/>
          </w:tcPr>
          <w:p>
            <w:r/>
            <w:r>
              <w:rPr>
                <w:rFonts w:ascii="游ゴシック" w:hAnsi="游ゴシック" w:eastAsia="游ゴシック"/>
                <w:sz w:val="18"/>
              </w:rPr>
              <w:t>一方、入所率・稼働率、介護SCR（性・年齢調整済みレセプト出現比）、人口メッシュは指標リストに見当たらず、基本指針案が（新）としているとおり令和8年度以降の改修で追加されるものと思われます。入所率については、当面は定員（D25〜D27）と受給者数（D1）からの概算、又は施設への直接照会で代替する必要がございます。認定者504人が未利用である要因（施設に空きがあるのか、満床で入れないのか）の判別に直結するため、改修の時期を北海道経由でご確認いただけますと幸いです。</w:t>
            </w:r>
          </w:p>
        </w:tc>
      </w:tr>
      <w:tr>
        <w:tc>
          <w:tcPr>
            <w:tcW w:type="dxa" w:w="1928"/>
          </w:tcPr>
          <w:p>
            <w:r/>
            <w:r>
              <w:rPr>
                <w:rFonts w:ascii="游ゴシック" w:hAnsi="游ゴシック" w:eastAsia="游ゴシック"/>
                <w:sz w:val="18"/>
              </w:rPr>
              <w:t>北海道の施策記述の構成</w:t>
            </w:r>
          </w:p>
        </w:tc>
        <w:tc>
          <w:tcPr>
            <w:tcW w:type="dxa" w:w="7597"/>
          </w:tcPr>
          <w:p>
            <w:r/>
            <w:r>
              <w:rPr>
                <w:rFonts w:ascii="游ゴシック" w:hAnsi="游ゴシック" w:eastAsia="游ゴシック"/>
                <w:sz w:val="18"/>
              </w:rPr>
              <w:t>北海道の計画は第5章の全8節を「（1）現状と課題（2）関連データ（3）施策の方向性（4）主な事業＜事業名及び内容（インプット）／目標（アウトプット）＞（5）達成目標（アウトカム）」の5層で記述しております。例えば第6節（介護人材の養成・確保）は、事業4件、アウトプット目標6項目（初任介護支援専門員OJT研修25人/年、キャリアパス支援研修12,000人/年 ほか）、アウトカム1項目（介護支援専門員従事者数 R4 9,718人→R8 10,331人）という構成です。一方、当広域連合の第9期計画の第5章は「主な取組・管理指標・主体」の3列の表のみで、現状と課題、根拠データ、実施事業、アウトプット目標がございません。第10期基本指針案が「ロジックモデルの活用」を記載充実事項に挙げていることも踏まえ、第5章の記述構成を北海道と同じ5層に改めることを提案いたします。素案の3層構造（本文KPI12項目・補完4項目・施策管理指標）を、施策管理指標＝アウトプット、本文KPI＝アウトカムとして各節に割り付ける形になります。</w:t>
            </w:r>
          </w:p>
        </w:tc>
      </w:tr>
      <w:tr>
        <w:tc>
          <w:tcPr>
            <w:tcW w:type="dxa" w:w="1928"/>
          </w:tcPr>
          <w:p>
            <w:r/>
            <w:r>
              <w:rPr>
                <w:rFonts w:ascii="游ゴシック" w:hAnsi="游ゴシック" w:eastAsia="游ゴシック"/>
                <w:sz w:val="18"/>
              </w:rPr>
              <w:t>北海道の指標単位の読替え</w:t>
            </w:r>
          </w:p>
        </w:tc>
        <w:tc>
          <w:tcPr>
            <w:tcW w:type="dxa" w:w="7597"/>
          </w:tcPr>
          <w:p>
            <w:r/>
            <w:r>
              <w:rPr>
                <w:rFonts w:ascii="游ゴシック" w:hAnsi="游ゴシック" w:eastAsia="游ゴシック"/>
                <w:sz w:val="18"/>
              </w:rPr>
              <w:t>北海道の評価指標・達成目標には「市町村数」を単位とするものが多く（例：介護予防に資する住民主体の通いの場がある市町村数 R4 159→R8 全179市町村）、1保険者である当広域連合にはそのまま適用できません。①日常生活圏域数（6圏域）②実数・率③3町のうち実施している町数、のいずれかへの読替えが必要です。①は圏域設定の見直し、③は3町との合意が前提となります。</w:t>
            </w:r>
          </w:p>
        </w:tc>
      </w:tr>
      <w:tr>
        <w:tc>
          <w:tcPr>
            <w:tcW w:type="dxa" w:w="1928"/>
          </w:tcPr>
          <w:p>
            <w:r/>
            <w:r>
              <w:rPr>
                <w:rFonts w:ascii="游ゴシック" w:hAnsi="游ゴシック" w:eastAsia="游ゴシック"/>
                <w:sz w:val="18"/>
              </w:rPr>
              <w:t>第10期KPIの実測可否</w:t>
            </w:r>
          </w:p>
        </w:tc>
        <w:tc>
          <w:tcPr>
            <w:tcW w:type="dxa" w:w="7597"/>
          </w:tcPr>
          <w:p>
            <w:r/>
            <w:r>
              <w:rPr>
                <w:rFonts w:ascii="游ゴシック" w:hAnsi="游ゴシック" w:eastAsia="游ゴシック"/>
                <w:sz w:val="18"/>
              </w:rPr>
              <w:t>16項目のうち、令和9年度当初から実測できる見通しが立っているのは8項目（H01・H02・H04・H05・H06・H11・H13・H15）です。残り8項目は、業務範囲の決定（H07・H08・H12・H16）、業務記録の様式整備（H09・H10）、設問の追加又は代替（H14）、認定台帳からの抽出（H03）を要します。第9期は5基本目標19施策に対し代表KPIが4項目で評価範囲が不足しておりましたが、第10期の16項目は範囲としては妥当である一方、半数について測定手段が未確定です。第1回委員会で測定手段まで含めてご決定いただくことを提案いたします。</w:t>
            </w:r>
          </w:p>
        </w:tc>
      </w:tr>
      <w:tr>
        <w:tc>
          <w:tcPr>
            <w:tcW w:type="dxa" w:w="1928"/>
          </w:tcPr>
          <w:p>
            <w:r/>
            <w:r>
              <w:rPr>
                <w:rFonts w:ascii="游ゴシック" w:hAnsi="游ゴシック" w:eastAsia="游ゴシック"/>
                <w:sz w:val="18"/>
              </w:rPr>
              <w:t>調査の回収率</w:t>
            </w:r>
          </w:p>
        </w:tc>
        <w:tc>
          <w:tcPr>
            <w:tcW w:type="dxa" w:w="7597"/>
          </w:tcPr>
          <w:p>
            <w:r/>
            <w:r>
              <w:rPr>
                <w:rFonts w:ascii="游ゴシック" w:hAnsi="游ゴシック" w:eastAsia="游ゴシック"/>
                <w:sz w:val="18"/>
              </w:rPr>
              <w:t>第9期の5調査の対象数は第1章第5節に記載があり、回収率はすべて算定できます。ニーズ調査63.9％、在宅介護実態調査46.8％（回答数は推定）、居所変更実態調査75.0％、在宅生活改善調査80.0％、介護人材実態調査77.1％です。</w:t>
            </w:r>
          </w:p>
        </w:tc>
      </w:tr>
    </w:tbl>
    <w:p>
      <w:pPr>
        <w:spacing w:after="80"/>
      </w:pPr>
      <w:r>
        <w:rPr>
          <w:rFonts w:ascii="游ゴシック" w:hAnsi="游ゴシック" w:eastAsia="游ゴシック"/>
          <w:b w:val="0"/>
          <w:sz w:val="21"/>
        </w:rPr>
      </w:r>
    </w:p>
    <w:p>
      <w:pPr>
        <w:spacing w:after="80"/>
        <w:jc w:val="right"/>
      </w:pPr>
      <w:r>
        <w:rPr>
          <w:rFonts w:ascii="游ゴシック" w:hAnsi="游ゴシック" w:eastAsia="游ゴシック"/>
          <w:b w:val="0"/>
          <w:sz w:val="21"/>
        </w:rPr>
        <w:t>以上</w:t>
      </w:r>
    </w:p>
    <w:p>
      <w:pPr>
        <w:spacing w:after="80"/>
      </w:pPr>
      <w:r>
        <w:rPr>
          <w:rFonts w:ascii="游ゴシック" w:hAnsi="游ゴシック" w:eastAsia="游ゴシック"/>
          <w:b w:val="0"/>
          <w:sz w:val="21"/>
        </w:rPr>
      </w:r>
    </w:p>
    <w:p>
      <w:pPr>
        <w:spacing w:after="80"/>
      </w:pPr>
      <w:r>
        <w:rPr>
          <w:rFonts w:ascii="游ゴシック" w:hAnsi="游ゴシック" w:eastAsia="游ゴシック"/>
          <w:b/>
          <w:sz w:val="19"/>
        </w:rPr>
        <w:t>【ご回答について】</w:t>
      </w:r>
    </w:p>
    <w:p>
      <w:pPr>
        <w:spacing w:after="80"/>
      </w:pPr>
      <w:r>
        <w:rPr>
          <w:rFonts w:ascii="游ゴシック" w:hAnsi="游ゴシック" w:eastAsia="游ゴシック"/>
          <w:b w:val="0"/>
          <w:sz w:val="19"/>
        </w:rPr>
        <w:t>１の(1)〜(7)は第1回委員会での協議事項として資料に反映いたします。２の1〜19は事務局にてご確認のうえ、回答欄にご記入いただくか、口頭でも差し支えありません。３の資料は受領次第、計画素案・図表集・修正指示書へ反映いたします。</w:t>
      </w:r>
    </w:p>
    <w:p>
      <w:pPr>
        <w:spacing w:after="80"/>
      </w:pPr>
      <w:r>
        <w:rPr>
          <w:rFonts w:ascii="游ゴシック" w:hAnsi="游ゴシック" w:eastAsia="游ゴシック"/>
          <w:b w:val="0"/>
          <w:sz w:val="19"/>
        </w:rPr>
        <w:t>なお、本書に記載した数値の根拠は「第10期計画_妥当性検証報告書」（全20シート）及び「第10期計画素案 第9稿→第10稿 修正指示書」（全59件）に整理しております。</w:t>
      </w:r>
    </w:p>
    <w:sectPr w:rsidR="00FC693F" w:rsidRPr="0006063C" w:rsidSect="00034616">
      <w:pgSz w:w="12240" w:h="15840"/>
      <w:pgMar w:top="1134" w:right="1020" w:bottom="113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