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令和8年10月5日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次に着手するもの（10月6日（火））</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町・国・県の回答を待たずに進められる作業は15件・41.0時間分あり、うち13件（33.0時間）が令和8年10月5日までに済んでいます。</w:t>
      </w:r>
      <w:r>
        <w:rPr>
          <w:rFonts w:ascii="游ゴシック" w:hAnsi="游ゴシック" w:eastAsia="游ゴシック"/>
          <w:b w:val="0"/>
          <w:i w:val="0"/>
          <w:sz w:val="21"/>
        </w:rPr>
        <w:t>令和8年10月6日は残り2件のうち2件（8.0時間）に着手します。</w:t>
      </w:r>
    </w:p>
    <w:p>
      <w:pPr>
        <w:spacing w:before="60" w:after="60"/>
      </w:pPr>
      <w:r>
        <w:rPr>
          <w:rFonts w:ascii="游ゴシック" w:hAnsi="游ゴシック" w:eastAsia="游ゴシック"/>
          <w:b/>
          <w:i w:val="0"/>
          <w:sz w:val="21"/>
        </w:rPr>
        <w:t>進捗の乖離を測ったところ、高齢者計画は予定より+16.0ポイント、障がい計画は-17.5ポイントでした。</w:t>
      </w:r>
      <w:r>
        <w:rPr>
          <w:rFonts w:ascii="游ゴシック" w:hAnsi="游ゴシック" w:eastAsia="游ゴシック"/>
          <w:b/>
          <w:i w:val="0"/>
          <w:sz w:val="21"/>
        </w:rPr>
        <w:t>障がい計画の遅れが大きく、期限を過ぎてなお終わっていない作業が9件あります。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4</w:t>
            </w:r>
          </w:p>
        </w:tc>
        <w:tc>
          <w:tcPr>
            <w:tcW w:type="dxa" w:w="1247"/>
            <w:vAlign w:val="center"/>
          </w:tcPr>
          <w:p>
            <w:pPr>
              <w:spacing w:before="20" w:after="20"/>
            </w:pPr>
            <w:r>
              <w:rPr>
                <w:rFonts w:ascii="游ゴシック" w:hAnsi="游ゴシック" w:eastAsia="游ゴシック"/>
                <w:b w:val="0"/>
                <w:i w:val="0"/>
                <w:sz w:val="17"/>
              </w:rPr>
              <w:t>決定2</w:t>
            </w:r>
          </w:p>
        </w:tc>
        <w:tc>
          <w:tcPr>
            <w:tcW w:type="dxa" w:w="3402"/>
            <w:vAlign w:val="center"/>
          </w:tcPr>
          <w:p>
            <w:pPr>
              <w:spacing w:before="20" w:after="20"/>
            </w:pPr>
            <w:r>
              <w:rPr>
                <w:rFonts w:ascii="游ゴシック" w:hAnsi="游ゴシック" w:eastAsia="游ゴシック"/>
                <w:b/>
                <w:i w:val="0"/>
                <w:sz w:val="17"/>
              </w:rPr>
              <w:t>準備基金の残高と取崩額</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B</w:t>
            </w:r>
          </w:p>
        </w:tc>
        <w:tc>
          <w:tcPr>
            <w:tcW w:type="dxa" w:w="1701"/>
            <w:vAlign w:val="center"/>
          </w:tcPr>
          <w:p>
            <w:pPr>
              <w:spacing w:before="20" w:after="20"/>
            </w:pPr>
            <w:r>
              <w:rPr>
                <w:rFonts w:ascii="游ゴシック" w:hAnsi="游ゴシック" w:eastAsia="游ゴシック"/>
                <w:b w:val="0"/>
                <w:i w:val="0"/>
                <w:sz w:val="17"/>
              </w:rPr>
              <w:t>交付金の得点に影響</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839"/>
            <w:vAlign w:val="center"/>
          </w:tcPr>
          <w:p>
            <w:pPr>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spacing w:before="20" w:after="20"/>
            </w:pPr>
            <w:r>
              <w:rPr>
                <w:rFonts w:ascii="游ゴシック" w:hAnsi="游ゴシック" w:eastAsia="游ゴシック"/>
                <w:b w:val="0"/>
                <w:i w:val="0"/>
                <w:sz w:val="17"/>
              </w:rPr>
              <w:t>制度改正・県計画との整合</w:t>
            </w:r>
          </w:p>
        </w:tc>
        <w:tc>
          <w:tcPr>
            <w:tcW w:type="dxa" w:w="567"/>
            <w:vAlign w:val="center"/>
          </w:tcPr>
          <w:p>
            <w:pPr>
              <w:spacing w:before="20" w:after="20"/>
              <w:jc w:val="right"/>
            </w:pPr>
            <w:r>
              <w:rPr>
                <w:rFonts w:ascii="游ゴシック" w:hAnsi="游ゴシック" w:eastAsia="游ゴシック"/>
                <w:b w:val="0"/>
                <w:i w:val="0"/>
                <w:sz w:val="17"/>
              </w:rPr>
              <w:t>3</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5102"/>
            <w:vAlign w:val="center"/>
          </w:tcPr>
          <w:p>
            <w:pPr>
              <w:spacing w:before="20" w:after="20"/>
            </w:pPr>
            <w:r>
              <w:rPr>
                <w:rFonts w:ascii="游ゴシック" w:hAnsi="游ゴシック" w:eastAsia="游ゴシック"/>
                <w:b/>
                <w:i w:val="0"/>
                <w:sz w:val="17"/>
              </w:rPr>
              <w:t>介護給付適正化計画の位置づけ（案A・B・C）</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5102"/>
            <w:vAlign w:val="center"/>
          </w:tcPr>
          <w:p>
            <w:pPr>
              <w:spacing w:before="20" w:after="20"/>
            </w:pPr>
            <w:r>
              <w:rPr>
                <w:rFonts w:ascii="游ゴシック" w:hAnsi="游ゴシック" w:eastAsia="游ゴシック"/>
                <w:b w:val="0"/>
                <w:i w:val="0"/>
                <w:sz w:val="17"/>
              </w:rPr>
              <w:t>調整交付金の見込交付割合</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5102"/>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spacing w:before="20" w:after="20"/>
              <w:jc w:val="right"/>
            </w:pPr>
            <w:r>
              <w:rPr>
                <w:rFonts w:ascii="游ゴシック" w:hAnsi="游ゴシック" w:eastAsia="游ゴシック"/>
                <w:b w:val="0"/>
                <w:i w:val="0"/>
                <w:sz w:val="17"/>
              </w:rPr>
              <w:t>77</w:t>
            </w:r>
          </w:p>
        </w:tc>
        <w:tc>
          <w:tcPr>
            <w:tcW w:type="dxa" w:w="1247"/>
            <w:vAlign w:val="center"/>
          </w:tcPr>
          <w:p>
            <w:pPr>
              <w:spacing w:before="20" w:after="20"/>
              <w:jc w:val="right"/>
            </w:pPr>
            <w:r>
              <w:rPr>
                <w:rFonts w:ascii="游ゴシック" w:hAnsi="游ゴシック" w:eastAsia="游ゴシック"/>
                <w:b w:val="0"/>
                <w:i w:val="0"/>
                <w:sz w:val="17"/>
              </w:rPr>
              <w:t>54.8％</w:t>
            </w:r>
          </w:p>
        </w:tc>
        <w:tc>
          <w:tcPr>
            <w:tcW w:type="dxa" w:w="1247"/>
            <w:vAlign w:val="center"/>
          </w:tcPr>
          <w:p>
            <w:pPr>
              <w:spacing w:before="20" w:after="20"/>
              <w:jc w:val="right"/>
            </w:pPr>
            <w:r>
              <w:rPr>
                <w:rFonts w:ascii="游ゴシック" w:hAnsi="游ゴシック" w:eastAsia="游ゴシック"/>
                <w:b w:val="0"/>
                <w:i w:val="0"/>
                <w:sz w:val="17"/>
              </w:rPr>
              <w:t>70.7％</w:t>
            </w:r>
          </w:p>
        </w:tc>
        <w:tc>
          <w:tcPr>
            <w:tcW w:type="dxa" w:w="1020"/>
            <w:vAlign w:val="center"/>
          </w:tcPr>
          <w:p>
            <w:pPr>
              <w:spacing w:before="20" w:after="20"/>
              <w:jc w:val="right"/>
            </w:pPr>
            <w:r>
              <w:rPr>
                <w:rFonts w:ascii="游ゴシック" w:hAnsi="游ゴシック" w:eastAsia="游ゴシック"/>
                <w:b w:val="0"/>
                <w:i w:val="0"/>
                <w:sz w:val="17"/>
              </w:rPr>
              <w:t>+16.0pt</w:t>
            </w:r>
          </w:p>
        </w:tc>
        <w:tc>
          <w:tcPr>
            <w:tcW w:type="dxa" w:w="1191"/>
            <w:vAlign w:val="center"/>
          </w:tcPr>
          <w:p>
            <w:pPr>
              <w:spacing w:before="20" w:after="20"/>
              <w:jc w:val="right"/>
            </w:pPr>
            <w:r>
              <w:rPr>
                <w:rFonts w:ascii="游ゴシック" w:hAnsi="游ゴシック" w:eastAsia="游ゴシック"/>
                <w:b w:val="0"/>
                <w:i w:val="0"/>
                <w:sz w:val="17"/>
              </w:rPr>
              <w:t>4件</w:t>
            </w:r>
          </w:p>
        </w:tc>
        <w:tc>
          <w:tcPr>
            <w:tcW w:type="dxa" w:w="1134"/>
            <w:vAlign w:val="center"/>
          </w:tcPr>
          <w:p>
            <w:pPr>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44</w:t>
            </w:r>
          </w:p>
        </w:tc>
        <w:tc>
          <w:tcPr>
            <w:tcW w:type="dxa" w:w="1247"/>
            <w:vAlign w:val="center"/>
          </w:tcPr>
          <w:p>
            <w:pPr>
              <w:spacing w:before="20" w:after="20"/>
              <w:jc w:val="right"/>
            </w:pPr>
            <w:r>
              <w:rPr>
                <w:rFonts w:ascii="游ゴシック" w:hAnsi="游ゴシック" w:eastAsia="游ゴシック"/>
                <w:b w:val="0"/>
                <w:i w:val="0"/>
                <w:sz w:val="17"/>
              </w:rPr>
              <w:t>50.6％</w:t>
            </w:r>
          </w:p>
        </w:tc>
        <w:tc>
          <w:tcPr>
            <w:tcW w:type="dxa" w:w="1247"/>
            <w:vAlign w:val="center"/>
          </w:tcPr>
          <w:p>
            <w:pPr>
              <w:spacing w:before="20" w:after="20"/>
              <w:jc w:val="right"/>
            </w:pPr>
            <w:r>
              <w:rPr>
                <w:rFonts w:ascii="游ゴシック" w:hAnsi="游ゴシック" w:eastAsia="游ゴシック"/>
                <w:b w:val="0"/>
                <w:i w:val="0"/>
                <w:sz w:val="17"/>
              </w:rPr>
              <w:t>33.1％</w:t>
            </w:r>
          </w:p>
        </w:tc>
        <w:tc>
          <w:tcPr>
            <w:tcW w:type="dxa" w:w="1020"/>
            <w:vAlign w:val="center"/>
          </w:tcPr>
          <w:p>
            <w:pPr>
              <w:spacing w:before="20" w:after="20"/>
              <w:jc w:val="right"/>
            </w:pPr>
            <w:r>
              <w:rPr>
                <w:rFonts w:ascii="游ゴシック" w:hAnsi="游ゴシック" w:eastAsia="游ゴシック"/>
                <w:b w:val="0"/>
                <w:i w:val="0"/>
                <w:sz w:val="17"/>
              </w:rPr>
              <w:t>-17.5pt</w:t>
            </w:r>
          </w:p>
        </w:tc>
        <w:tc>
          <w:tcPr>
            <w:tcW w:type="dxa" w:w="1191"/>
            <w:vAlign w:val="center"/>
          </w:tcPr>
          <w:p>
            <w:pPr>
              <w:spacing w:before="20" w:after="20"/>
              <w:jc w:val="right"/>
            </w:pPr>
            <w:r>
              <w:rPr>
                <w:rFonts w:ascii="游ゴシック" w:hAnsi="游ゴシック" w:eastAsia="游ゴシック"/>
                <w:b w:val="0"/>
                <w:i w:val="0"/>
                <w:sz w:val="17"/>
              </w:rPr>
              <w:t>9件</w:t>
            </w:r>
          </w:p>
        </w:tc>
        <w:tc>
          <w:tcPr>
            <w:tcW w:type="dxa" w:w="1134"/>
            <w:vAlign w:val="center"/>
          </w:tcPr>
          <w:p>
            <w:pPr>
              <w:spacing w:before="20" w:after="20"/>
              <w:jc w:val="right"/>
            </w:pPr>
            <w:r>
              <w:rPr>
                <w:rFonts w:ascii="游ゴシック" w:hAnsi="游ゴシック" w:eastAsia="游ゴシック"/>
                <w:b w:val="0"/>
                <w:i w:val="0"/>
                <w:sz w:val="17"/>
              </w:rPr>
              <w:t>4件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予定進捗率は、予定開始の月初から予定完了の月末までを直線で見たときの令和8年10月5日時点の値。判定は差が±10ポイント以内なら「おおむね予定どおり」とした。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高齢者計画は予定を+16.0ポイント上回っています。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一方で障がい計画は-17.5ポイント下回っており、こちらが本業務全体の弱いところです。</w:t>
      </w:r>
    </w:p>
    <w:p>
      <w:pPr>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38％</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bl>
    <w:p>
      <w:pPr>
        <w:spacing w:after="40"/>
      </w:pPr>
    </w:p>
    <w:p>
      <w:pPr>
        <w:keepNext/>
        <w:spacing w:before="180" w:after="80"/>
      </w:pPr>
      <w:r>
        <w:rPr>
          <w:rFonts w:ascii="游ゴシック" w:hAnsi="游ゴシック" w:eastAsia="游ゴシック"/>
          <w:b/>
          <w:i w:val="0"/>
          <w:color w:val="1F4D78"/>
          <w:sz w:val="22"/>
        </w:rPr>
        <w:t>障がい計画（13件）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調査用品の準備・印刷</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調査票の確定。</w:t>
            </w:r>
            <w:r>
              <w:rPr>
                <w:rFonts w:ascii="游ゴシック" w:hAnsi="游ゴシック" w:eastAsia="游ゴシック"/>
                <w:b/>
                <w:i w:val="0"/>
                <w:sz w:val="17"/>
              </w:rPr>
              <w:t>墨印刷でのルビ可読性は実物校正が必要</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2-4</w:t>
            </w:r>
          </w:p>
        </w:tc>
        <w:tc>
          <w:tcPr>
            <w:tcW w:type="dxa" w:w="1928"/>
            <w:vAlign w:val="center"/>
          </w:tcPr>
          <w:p>
            <w:pPr>
              <w:spacing w:before="20" w:after="20"/>
            </w:pPr>
            <w:r>
              <w:rPr>
                <w:rFonts w:ascii="游ゴシック" w:hAnsi="游ゴシック" w:eastAsia="游ゴシック"/>
                <w:b w:val="0"/>
                <w:i w:val="0"/>
                <w:sz w:val="17"/>
              </w:rPr>
              <w:t>調査票原案の町の確認</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val="0"/>
                <w:i w:val="0"/>
                <w:sz w:val="17"/>
              </w:rPr>
              <w:t>調査票の復元</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宛名ラベルの作成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対象者の抽出</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2-3</w:t>
            </w:r>
          </w:p>
        </w:tc>
        <w:tc>
          <w:tcPr>
            <w:tcW w:type="dxa" w:w="1928"/>
            <w:vAlign w:val="center"/>
          </w:tcPr>
          <w:p>
            <w:pPr>
              <w:spacing w:before="20" w:after="20"/>
            </w:pPr>
            <w:r>
              <w:rPr>
                <w:rFonts w:ascii="游ゴシック" w:hAnsi="游ゴシック" w:eastAsia="游ゴシック"/>
                <w:b w:val="0"/>
                <w:i w:val="0"/>
                <w:sz w:val="17"/>
              </w:rPr>
              <w:t>調査票の作成と補修正</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★0727版が手元にない（依頼票D1）。工程全体の律速</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町による区分ごとの実数の回答（依頼票D2）。所管課をまたぐ照会で2〜3週間</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2-8</w:t>
            </w:r>
          </w:p>
        </w:tc>
        <w:tc>
          <w:tcPr>
            <w:tcW w:type="dxa" w:w="1928"/>
            <w:vAlign w:val="center"/>
          </w:tcPr>
          <w:p>
            <w:pPr>
              <w:spacing w:before="20" w:after="20"/>
            </w:pPr>
            <w:r>
              <w:rPr>
                <w:rFonts w:ascii="游ゴシック" w:hAnsi="游ゴシック" w:eastAsia="游ゴシック"/>
                <w:b w:val="0"/>
                <w:i w:val="0"/>
                <w:sz w:val="17"/>
              </w:rPr>
              <w:t>調査の発送・回収</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調査票の確定、対象者の抽出</w:t>
            </w:r>
          </w:p>
        </w:tc>
      </w:tr>
      <w:tr>
        <w:tc>
          <w:tcPr>
            <w:tcW w:type="dxa" w:w="510"/>
            <w:vAlign w:val="center"/>
          </w:tcPr>
          <w:p>
            <w:pPr>
              <w:spacing w:before="20" w:after="20"/>
            </w:pPr>
            <w:r>
              <w:rPr>
                <w:rFonts w:ascii="游ゴシック" w:hAnsi="游ゴシック" w:eastAsia="游ゴシック"/>
                <w:b w:val="0"/>
                <w:i w:val="0"/>
                <w:sz w:val="17"/>
              </w:rPr>
              <w:t>5-1</w:t>
            </w:r>
          </w:p>
        </w:tc>
        <w:tc>
          <w:tcPr>
            <w:tcW w:type="dxa" w:w="1928"/>
            <w:vAlign w:val="center"/>
          </w:tcPr>
          <w:p>
            <w:pPr>
              <w:spacing w:before="20" w:after="20"/>
            </w:pPr>
            <w:r>
              <w:rPr>
                <w:rFonts w:ascii="游ゴシック" w:hAnsi="游ゴシック" w:eastAsia="游ゴシック"/>
                <w:b w:val="0"/>
                <w:i w:val="0"/>
                <w:sz w:val="17"/>
              </w:rPr>
              <w:t>現行計画の取組み状況の検証</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町のサービス実績（依頼票D4・D7）</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前回調査で督促を行ったかが未確認（依頼票D3）。行っていた場合は12.4ptを督促以外で作る必要がある</w:t>
            </w:r>
          </w:p>
        </w:tc>
      </w:tr>
    </w:tbl>
    <w:p>
      <w:pPr>
        <w:spacing w:after="40"/>
      </w:pPr>
    </w:p>
    <w:p>
      <w:pPr>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障がい計画の遅れ13件は、すべて町からの3点に連なっています。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町・国・県の回答を待たずに進められる作業は15件、合計41.0時間（1日8.0時間として約5.1日）です。</w:t>
      </w:r>
      <w:r>
        <w:rPr>
          <w:rFonts w:ascii="游ゴシック" w:hAnsi="游ゴシック" w:eastAsia="游ゴシック"/>
          <w:b/>
          <w:i w:val="0"/>
          <w:sz w:val="21"/>
        </w:rPr>
        <w:t>うち13件・33.0時間は令和8年10月5日までに済みました。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障がい計画の素案の改訂（第2版）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keepNext/>
        <w:spacing w:before="240" w:after="100"/>
      </w:pPr>
      <w:bookmarkStart w:id="118" w:name="_Toc_018"/>
      <w:r>
        <w:rPr>
          <w:rFonts w:ascii="游ゴシック" w:hAnsi="游ゴシック" w:eastAsia="游ゴシック"/>
          <w:b/>
          <w:i w:val="0"/>
          <w:color w:val="2E74B5"/>
          <w:sz w:val="30"/>
        </w:rPr>
        <w:t>6　作業順位</w:t>
      </w:r>
      <w:bookmarkEnd w:id="118"/>
    </w:p>
    <w:p>
      <w:pPr>
        <w:keepNext/>
        <w:spacing w:before="180" w:after="100"/>
      </w:pPr>
      <w:bookmarkStart w:id="119" w:name="_Toc_019"/>
      <w:r>
        <w:rPr>
          <w:rFonts w:ascii="游ゴシック" w:hAnsi="游ゴシック" w:eastAsia="游ゴシック"/>
          <w:b/>
          <w:i w:val="0"/>
          <w:color w:val="2E74B5"/>
          <w:sz w:val="25"/>
        </w:rPr>
        <w:t>6-1　次に着手するもの（10月6日（火））</w:t>
      </w:r>
      <w:bookmarkEnd w:id="119"/>
    </w:p>
    <w:p>
      <w:pPr>
        <w:spacing w:before="60" w:after="60"/>
      </w:pPr>
      <w:r>
        <w:rPr>
          <w:rFonts w:ascii="游ゴシック" w:hAnsi="游ゴシック" w:eastAsia="游ゴシック"/>
          <w:b/>
          <w:i w:val="0"/>
          <w:sz w:val="21"/>
        </w:rPr>
        <w:t>2件・8.0時間。いずれも外部の回答を要しません。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T12</w:t>
            </w:r>
          </w:p>
        </w:tc>
        <w:tc>
          <w:tcPr>
            <w:tcW w:type="dxa" w:w="2268"/>
            <w:vAlign w:val="center"/>
          </w:tcPr>
          <w:p>
            <w:pPr>
              <w:spacing w:before="20" w:after="20"/>
            </w:pPr>
            <w:r>
              <w:rPr>
                <w:rFonts w:ascii="游ゴシック" w:hAnsi="游ゴシック" w:eastAsia="游ゴシック"/>
                <w:b w:val="0"/>
                <w:i w:val="0"/>
                <w:sz w:val="17"/>
              </w:rPr>
              <w:t>障がい計画の素案の改訂（第2版）</w:t>
            </w:r>
          </w:p>
        </w:tc>
        <w:tc>
          <w:tcPr>
            <w:tcW w:type="dxa" w:w="680"/>
            <w:vAlign w:val="center"/>
          </w:tcPr>
          <w:p>
            <w:pPr>
              <w:spacing w:before="20" w:after="20"/>
              <w:jc w:val="right"/>
            </w:pPr>
            <w:r>
              <w:rPr>
                <w:rFonts w:ascii="游ゴシック" w:hAnsi="游ゴシック" w:eastAsia="游ゴシック"/>
                <w:b w:val="0"/>
                <w:i w:val="0"/>
                <w:sz w:val="17"/>
              </w:rPr>
              <w:t>6.0</w:t>
            </w:r>
          </w:p>
        </w:tc>
        <w:tc>
          <w:tcPr>
            <w:tcW w:type="dxa" w:w="5726"/>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障がい計画の律速要因そのもので、</w:t>
            </w:r>
            <w:r>
              <w:rPr>
                <w:rFonts w:ascii="游ゴシック" w:hAnsi="游ゴシック" w:eastAsia="游ゴシック"/>
                <w:b/>
                <w:i w:val="0"/>
                <w:sz w:val="17"/>
              </w:rPr>
              <w:t>調査が動き出したときに素案づくりが律速にならないようにする</w:t>
            </w:r>
          </w:p>
        </w:tc>
      </w:tr>
      <w:tr>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T14</w:t>
            </w:r>
          </w:p>
        </w:tc>
        <w:tc>
          <w:tcPr>
            <w:tcW w:type="dxa" w:w="2268"/>
            <w:vAlign w:val="center"/>
          </w:tcPr>
          <w:p>
            <w:pPr>
              <w:spacing w:before="20" w:after="20"/>
            </w:pPr>
            <w:r>
              <w:rPr>
                <w:rFonts w:ascii="游ゴシック" w:hAnsi="游ゴシック" w:eastAsia="游ゴシック"/>
                <w:b w:val="0"/>
                <w:i w:val="0"/>
                <w:sz w:val="17"/>
              </w:rPr>
              <w:t>一次資料との突合の対象を広げる</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726"/>
            <w:vAlign w:val="center"/>
          </w:tcPr>
          <w:p>
            <w:pPr>
              <w:spacing w:before="20" w:after="20"/>
            </w:pPr>
            <w:r>
              <w:rPr>
                <w:rFonts w:ascii="游ゴシック" w:hAnsi="游ゴシック" w:eastAsia="游ゴシック"/>
                <w:b/>
                <w:i w:val="0"/>
                <w:sz w:val="17"/>
              </w:rPr>
              <w:t>原本（年報・国保連月報・交付金の集計表）が手元にある。</w:t>
            </w:r>
            <w:r>
              <w:rPr>
                <w:rFonts w:ascii="游ゴシック" w:hAnsi="游ゴシック" w:eastAsia="游ゴシック"/>
                <w:b/>
                <w:i w:val="0"/>
                <w:sz w:val="17"/>
              </w:rPr>
              <w:t>10月5日に一次資料の台帳を作ったので、突合の対象を増やすと素案の関連データの裏づけも同時に厚くなる</w:t>
            </w:r>
          </w:p>
        </w:tc>
      </w:tr>
    </w:tbl>
    <w:p>
      <w:pPr>
        <w:spacing w:after="40"/>
      </w:pPr>
    </w:p>
    <w:p>
      <w:pPr>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資料：業務進捗管理表（17_業務進捗管理）令和8年10月5日版。高齢者計画のWBS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