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Mincho" w:eastAsia="Yu Mincho" w:hAnsi="Yu Mincho"/>
          <w:color w:val="5E6B67"/>
          <w:sz w:val="24"/>
          <w:szCs w:val="24"/>
        </w:rPr>
        <w:t xml:space="preserve">中札内村下水道事業経営戦略（案）</w:t>
      </w:r>
    </w:p>
    <w:p>
      <w:pPr>
        <w:pBdr>
          <w:bottom w:val="single" w:color="1A2422" w:sz="18" w:space="8"/>
        </w:pBdr>
        <w:spacing w:after="200"/>
      </w:pPr>
      <w:r>
        <w:rPr>
          <w:rFonts w:ascii="Yu Mincho" w:eastAsia="Yu Mincho" w:hAnsi="Yu Mincho"/>
          <w:b/>
          <w:bCs/>
          <w:color w:val="1A2422"/>
          <w:sz w:val="40"/>
          <w:szCs w:val="40"/>
        </w:rPr>
        <w:t xml:space="preserve">修正箇所一覧</w:t>
      </w:r>
    </w:p>
    <w:tbl>
      <w:tblPr>
        <w:tblW w:type="dxa" w:w="9638"/>
        <w:tblBorders>
          <w:top w:val="none"/>
          <w:left w:val="none"/>
          <w:bottom w:val="none"/>
          <w:right w:val="none"/>
          <w:insideH w:val="single" w:color="C8D2CE" w:sz="4"/>
          <w:insideV w:val="none"/>
        </w:tblBorders>
      </w:tblPr>
      <w:tblGrid>
        <w:gridCol w:w="1900"/>
        <w:gridCol w:w="7738"/>
      </w:tblGrid>
      <w:tr>
        <w:tc>
          <w:tcPr>
            <w:tcW w:type="dxa" w:w="1900"/>
            <w:tcMar>
              <w:top w:type="dxa" w:w="60"/>
              <w:left w:type="dxa" w:w="100"/>
              <w:bottom w:type="dxa" w:w="60"/>
              <w:right w:type="dxa" w:w="100"/>
            </w:tcMar>
            <w:vAlign w:val="center"/>
          </w:tcPr>
          <w:p>
            <w:pPr>
              <w:spacing w:after="0" w:line="260"/>
            </w:pPr>
            <w:r>
              <w:rPr>
                <w:rFonts w:ascii="Yu Gothic" w:eastAsia="Yu Gothic" w:hAnsi="Yu Gothic"/>
                <w:b/>
                <w:bCs/>
                <w:color w:val="0E5E62"/>
                <w:sz w:val="18"/>
                <w:szCs w:val="18"/>
              </w:rPr>
              <w:t xml:space="preserve">対象</w:t>
            </w:r>
          </w:p>
        </w:tc>
        <w:tc>
          <w:tcPr>
            <w:tcW w:type="dxa" w:w="7738"/>
            <w:tcMar>
              <w:top w:type="dxa" w:w="60"/>
              <w:left w:type="dxa" w:w="100"/>
              <w:bottom w:type="dxa" w:w="60"/>
              <w:right w:type="dxa" w:w="100"/>
            </w:tcMar>
            <w:vAlign w:val="center"/>
          </w:tcPr>
          <w:p>
            <w:pPr>
              <w:spacing w:after="0" w:line="260"/>
            </w:pPr>
            <w:r>
              <w:rPr>
                <w:rFonts w:ascii="Yu Gothic" w:eastAsia="Yu Gothic" w:hAnsi="Yu Gothic"/>
                <w:color w:val="1A2422"/>
                <w:sz w:val="18"/>
                <w:szCs w:val="18"/>
              </w:rPr>
              <w:t xml:space="preserve">中札内村下水道事業経営戦略（案）　令和7（2025）年度〜令和16（2034）年度</w:t>
            </w:r>
          </w:p>
        </w:tc>
      </w:tr>
      <w:tr>
        <w:tc>
          <w:tcPr>
            <w:tcW w:type="dxa" w:w="1900"/>
            <w:tcMar>
              <w:top w:type="dxa" w:w="60"/>
              <w:left w:type="dxa" w:w="100"/>
              <w:bottom w:type="dxa" w:w="60"/>
              <w:right w:type="dxa" w:w="100"/>
            </w:tcMar>
            <w:vAlign w:val="center"/>
          </w:tcPr>
          <w:p>
            <w:pPr>
              <w:spacing w:after="0" w:line="260"/>
            </w:pPr>
            <w:r>
              <w:rPr>
                <w:rFonts w:ascii="Yu Gothic" w:eastAsia="Yu Gothic" w:hAnsi="Yu Gothic"/>
                <w:b/>
                <w:bCs/>
                <w:color w:val="0E5E62"/>
                <w:sz w:val="18"/>
                <w:szCs w:val="18"/>
              </w:rPr>
              <w:t xml:space="preserve">修正依頼</w:t>
            </w:r>
          </w:p>
        </w:tc>
        <w:tc>
          <w:tcPr>
            <w:tcW w:type="dxa" w:w="7738"/>
            <w:tcMar>
              <w:top w:type="dxa" w:w="60"/>
              <w:left w:type="dxa" w:w="100"/>
              <w:bottom w:type="dxa" w:w="60"/>
              <w:right w:type="dxa" w:w="100"/>
            </w:tcMar>
            <w:vAlign w:val="center"/>
          </w:tcPr>
          <w:p>
            <w:pPr>
              <w:spacing w:after="0" w:line="260"/>
            </w:pPr>
            <w:r>
              <w:rPr>
                <w:rFonts w:ascii="Yu Gothic" w:eastAsia="Yu Gothic" w:hAnsi="Yu Gothic"/>
                <w:color w:val="1A2422"/>
                <w:sz w:val="18"/>
                <w:szCs w:val="18"/>
              </w:rPr>
              <w:t xml:space="preserve">朱書き校正紙（令和8年1月4日付コメント）＋提供資料3点（区域図・管渠延長・施設の概要）</w:t>
            </w:r>
          </w:p>
        </w:tc>
      </w:tr>
      <w:tr>
        <w:tc>
          <w:tcPr>
            <w:tcW w:type="dxa" w:w="1900"/>
            <w:tcMar>
              <w:top w:type="dxa" w:w="60"/>
              <w:left w:type="dxa" w:w="100"/>
              <w:bottom w:type="dxa" w:w="60"/>
              <w:right w:type="dxa" w:w="100"/>
            </w:tcMar>
            <w:vAlign w:val="center"/>
          </w:tcPr>
          <w:p>
            <w:pPr>
              <w:spacing w:after="0" w:line="260"/>
            </w:pPr>
            <w:r>
              <w:rPr>
                <w:rFonts w:ascii="Yu Gothic" w:eastAsia="Yu Gothic" w:hAnsi="Yu Gothic"/>
                <w:b/>
                <w:bCs/>
                <w:color w:val="0E5E62"/>
                <w:sz w:val="18"/>
                <w:szCs w:val="18"/>
              </w:rPr>
              <w:t xml:space="preserve">照合資料</w:t>
            </w:r>
          </w:p>
        </w:tc>
        <w:tc>
          <w:tcPr>
            <w:tcW w:type="dxa" w:w="7738"/>
            <w:tcMar>
              <w:top w:type="dxa" w:w="60"/>
              <w:left w:type="dxa" w:w="100"/>
              <w:bottom w:type="dxa" w:w="60"/>
              <w:right w:type="dxa" w:w="100"/>
            </w:tcMar>
            <w:vAlign w:val="center"/>
          </w:tcPr>
          <w:p>
            <w:pPr>
              <w:spacing w:after="0" w:line="260"/>
            </w:pPr>
            <w:r>
              <w:rPr>
                <w:rFonts w:ascii="Yu Gothic" w:eastAsia="Yu Gothic" w:hAnsi="Yu Gothic"/>
                <w:color w:val="1A2422"/>
                <w:sz w:val="18"/>
                <w:szCs w:val="18"/>
              </w:rPr>
              <w:t xml:space="preserve">中札内村下水道事業経営戦略（R7〜R16）令和7年2月策定・公表版（経営比較分析表を含む）</w:t>
            </w:r>
          </w:p>
        </w:tc>
      </w:tr>
      <w:tr>
        <w:tc>
          <w:tcPr>
            <w:tcW w:type="dxa" w:w="1900"/>
            <w:tcMar>
              <w:top w:type="dxa" w:w="60"/>
              <w:left w:type="dxa" w:w="100"/>
              <w:bottom w:type="dxa" w:w="60"/>
              <w:right w:type="dxa" w:w="100"/>
            </w:tcMar>
            <w:vAlign w:val="center"/>
          </w:tcPr>
          <w:p>
            <w:pPr>
              <w:spacing w:after="0" w:line="260"/>
            </w:pPr>
            <w:r>
              <w:rPr>
                <w:rFonts w:ascii="Yu Gothic" w:eastAsia="Yu Gothic" w:hAnsi="Yu Gothic"/>
                <w:b/>
                <w:bCs/>
                <w:color w:val="0E5E62"/>
                <w:sz w:val="18"/>
                <w:szCs w:val="18"/>
              </w:rPr>
              <w:t xml:space="preserve">作成日</w:t>
            </w:r>
          </w:p>
        </w:tc>
        <w:tc>
          <w:tcPr>
            <w:tcW w:type="dxa" w:w="7738"/>
            <w:tcMar>
              <w:top w:type="dxa" w:w="60"/>
              <w:left w:type="dxa" w:w="100"/>
              <w:bottom w:type="dxa" w:w="60"/>
              <w:right w:type="dxa" w:w="100"/>
            </w:tcMar>
            <w:vAlign w:val="center"/>
          </w:tcPr>
          <w:p>
            <w:pPr>
              <w:spacing w:after="0" w:line="260"/>
            </w:pPr>
            <w:r>
              <w:rPr>
                <w:rFonts w:ascii="Yu Gothic" w:eastAsia="Yu Gothic" w:hAnsi="Yu Gothic"/>
                <w:color w:val="1A2422"/>
                <w:sz w:val="18"/>
                <w:szCs w:val="18"/>
              </w:rPr>
              <w:t xml:space="preserve">令和8（2026）年9月4日</w:t>
            </w:r>
          </w:p>
        </w:tc>
      </w:tr>
    </w:tbl>
    <w:p>
      <w:pPr>
        <w:pBdr>
          <w:bottom w:val="single" w:color="0E5E62" w:sz="12" w:space="4"/>
        </w:pBdr>
        <w:spacing w:after="160" w:before="360"/>
      </w:pPr>
      <w:r>
        <w:rPr>
          <w:rFonts w:ascii="Yu Gothic" w:eastAsia="Yu Gothic" w:hAnsi="Yu Gothic"/>
          <w:b/>
          <w:bCs/>
          <w:color w:val="0E5E62"/>
          <w:sz w:val="26"/>
          <w:szCs w:val="26"/>
        </w:rPr>
        <w:t xml:space="preserve">１　</w:t>
      </w:r>
      <w:r>
        <w:rPr>
          <w:rFonts w:ascii="Yu Gothic" w:eastAsia="Yu Gothic" w:hAnsi="Yu Gothic"/>
          <w:b/>
          <w:bCs/>
          <w:color w:val="1A2422"/>
          <w:sz w:val="26"/>
          <w:szCs w:val="26"/>
        </w:rPr>
        <w:t xml:space="preserve">本書の目的</w:t>
      </w:r>
    </w:p>
    <w:p>
      <w:pPr>
        <w:spacing w:after="120" w:before="0" w:line="300"/>
      </w:pPr>
      <w:r>
        <w:rPr>
          <w:rFonts w:ascii="Yu Gothic" w:eastAsia="Yu Gothic" w:hAnsi="Yu Gothic"/>
          <w:color w:val="1A2422"/>
          <w:sz w:val="21"/>
          <w:szCs w:val="21"/>
        </w:rPr>
        <w:t xml:space="preserve">本書は、中札内村から受領した朱書き校正紙による修正依頼と、提供資料および現行公表版との突合せ（影響範囲試算）により確定した修正必要箇所を一覧にまとめたものである。</w:t>
      </w:r>
    </w:p>
    <w:p>
      <w:pPr>
        <w:spacing w:after="120" w:before="0" w:line="300"/>
      </w:pPr>
      <w:r>
        <w:rPr>
          <w:rFonts w:ascii="Yu Gothic" w:eastAsia="Yu Gothic" w:hAnsi="Yu Gothic"/>
          <w:color w:val="1A2422"/>
          <w:sz w:val="21"/>
          <w:szCs w:val="21"/>
        </w:rPr>
        <w:t xml:space="preserve">修正箇所は、①自治体からの赤字修正、②影響範囲試算で確定した修正必要箇所、③村への照会または方針判断を要する論点の三層に整理した。①および②のうち根拠が確定しているものは本文（docx）およびシミュレーション（xlsx）へ反映済みである。</w:t>
      </w:r>
    </w:p>
    <w:p>
      <w:pPr>
        <w:pBdr>
          <w:bottom w:val="single" w:color="0E5E62" w:sz="12" w:space="4"/>
        </w:pBdr>
        <w:spacing w:after="160" w:before="360"/>
      </w:pPr>
      <w:r>
        <w:rPr>
          <w:rFonts w:ascii="Yu Gothic" w:eastAsia="Yu Gothic" w:hAnsi="Yu Gothic"/>
          <w:b/>
          <w:bCs/>
          <w:color w:val="0E5E62"/>
          <w:sz w:val="26"/>
          <w:szCs w:val="26"/>
        </w:rPr>
        <w:t xml:space="preserve">２　</w:t>
      </w:r>
      <w:r>
        <w:rPr>
          <w:rFonts w:ascii="Yu Gothic" w:eastAsia="Yu Gothic" w:hAnsi="Yu Gothic"/>
          <w:b/>
          <w:bCs/>
          <w:color w:val="1A2422"/>
          <w:sz w:val="26"/>
          <w:szCs w:val="26"/>
        </w:rPr>
        <w:t xml:space="preserve">自治体からの赤字修正箇所</w:t>
      </w:r>
    </w:p>
    <w:p>
      <w:pPr>
        <w:spacing w:after="120" w:before="0" w:line="300"/>
      </w:pPr>
      <w:r>
        <w:rPr>
          <w:rFonts w:ascii="Yu Gothic" w:eastAsia="Yu Gothic" w:hAnsi="Yu Gothic"/>
          <w:color w:val="1A2422"/>
          <w:sz w:val="21"/>
          <w:szCs w:val="21"/>
        </w:rPr>
        <w:t xml:space="preserve">朱書き校正紙で指示のあった9件。いずれも語句・年次の置換であり、試算値への影響はない。「町」→「村」および「県」→「道」は他団体の様式を流用した際の残存と考えられる。</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700"/>
        <w:gridCol w:w="1750"/>
        <w:gridCol w:w="2650"/>
        <w:gridCol w:w="2650"/>
        <w:gridCol w:w="1888"/>
      </w:tblGrid>
      <w:tr>
        <w:trPr>
          <w:tblHeader/>
        </w:trPr>
        <w:tc>
          <w:tcPr>
            <w:tcW w:type="dxa" w:w="7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頁</w:t>
            </w:r>
          </w:p>
        </w:tc>
        <w:tc>
          <w:tcPr>
            <w:tcW w:type="dxa" w:w="17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箇所</w:t>
            </w:r>
          </w:p>
        </w:tc>
        <w:tc>
          <w:tcPr>
            <w:tcW w:type="dxa" w:w="26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修正前</w:t>
            </w:r>
          </w:p>
        </w:tc>
        <w:tc>
          <w:tcPr>
            <w:tcW w:type="dxa" w:w="26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修正後</w:t>
            </w:r>
          </w:p>
        </w:tc>
        <w:tc>
          <w:tcPr>
            <w:tcW w:type="dxa" w:w="188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対応</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表紙</w:t>
            </w:r>
          </w:p>
        </w:tc>
        <w:tc>
          <w:tcPr>
            <w:tcW w:type="dxa" w:w="17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発行課名</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中札内村役場　建設課</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中札内村役場　施設課</w:t>
            </w:r>
          </w:p>
        </w:tc>
        <w:tc>
          <w:tcPr>
            <w:tcW w:type="dxa" w:w="18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w:t>
            </w:r>
          </w:p>
        </w:tc>
        <w:tc>
          <w:tcPr>
            <w:tcW w:type="dxa" w:w="17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（2）本村の下水道処理の歩み</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処理場は1箇所で、町の中心部</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処理場は1箇所で、村の中心部</w:t>
            </w:r>
          </w:p>
        </w:tc>
        <w:tc>
          <w:tcPr>
            <w:tcW w:type="dxa" w:w="18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w:t>
            </w:r>
          </w:p>
        </w:tc>
        <w:tc>
          <w:tcPr>
            <w:tcW w:type="dxa" w:w="17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同上</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これまでの整備により、町全体</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これまでの整備により、村全体</w:t>
            </w:r>
          </w:p>
        </w:tc>
        <w:tc>
          <w:tcPr>
            <w:tcW w:type="dxa" w:w="18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w:t>
            </w:r>
          </w:p>
        </w:tc>
        <w:tc>
          <w:tcPr>
            <w:tcW w:type="dxa" w:w="17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地方公営企業法の適用時期</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令和5（2023）年4月から移行</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令和4（2022）年4月から移行</w:t>
            </w:r>
          </w:p>
        </w:tc>
        <w:tc>
          <w:tcPr>
            <w:tcW w:type="dxa" w:w="18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p.10</w:t>
            </w:r>
          </w:p>
        </w:tc>
        <w:tc>
          <w:tcPr>
            <w:tcW w:type="dxa" w:w="17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（3）組織の状況・組織図</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町長</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村長</w:t>
            </w:r>
          </w:p>
        </w:tc>
        <w:tc>
          <w:tcPr>
            <w:tcW w:type="dxa" w:w="18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p.26</w:t>
            </w:r>
          </w:p>
        </w:tc>
        <w:tc>
          <w:tcPr>
            <w:tcW w:type="dxa" w:w="17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（2）投資財源の予測</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国（県）補助金等を活用</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国（道）補助金等を活用</w:t>
            </w:r>
          </w:p>
        </w:tc>
        <w:tc>
          <w:tcPr>
            <w:tcW w:type="dxa" w:w="18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p.34</w:t>
            </w:r>
          </w:p>
        </w:tc>
        <w:tc>
          <w:tcPr>
            <w:tcW w:type="dxa" w:w="17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❸収支計画の説明【資本的収入】</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●国（県）補助金</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●国（道）補助金</w:t>
            </w:r>
          </w:p>
        </w:tc>
        <w:tc>
          <w:tcPr>
            <w:tcW w:type="dxa" w:w="18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p.34</w:t>
            </w:r>
          </w:p>
        </w:tc>
        <w:tc>
          <w:tcPr>
            <w:tcW w:type="dxa" w:w="17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同上・本文</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国庫（県）補助対象事業</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国庫（道）補助対象事業</w:t>
            </w:r>
          </w:p>
        </w:tc>
        <w:tc>
          <w:tcPr>
            <w:tcW w:type="dxa" w:w="18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p.38</w:t>
            </w:r>
          </w:p>
        </w:tc>
        <w:tc>
          <w:tcPr>
            <w:tcW w:type="dxa" w:w="17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理解促進に向けた広報及び啓発活動</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町ホームページ、SNS等</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村ホームページ、SNS等</w:t>
            </w:r>
          </w:p>
        </w:tc>
        <w:tc>
          <w:tcPr>
            <w:tcW w:type="dxa" w:w="18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bl>
    <w:p>
      <w:pPr>
        <w:spacing w:after="120" w:before="260"/>
      </w:pPr>
      <w:r>
        <w:rPr>
          <w:rFonts w:ascii="Yu Gothic" w:eastAsia="Yu Gothic" w:hAnsi="Yu Gothic"/>
          <w:b/>
          <w:bCs/>
          <w:color w:val="0E5E62"/>
          <w:sz w:val="22"/>
          <w:szCs w:val="22"/>
        </w:rPr>
        <w:t xml:space="preserve">■　あわせて受領した資料提供依頼（コメント3件）</w:t>
      </w:r>
    </w:p>
    <w:p>
      <w:pPr>
        <w:spacing w:after="120" w:before="0" w:line="300"/>
      </w:pPr>
      <w:r>
        <w:rPr>
          <w:rFonts w:ascii="Yu Gothic" w:eastAsia="Yu Gothic" w:hAnsi="Yu Gothic"/>
          <w:color w:val="1A2422"/>
          <w:sz w:val="21"/>
          <w:szCs w:val="21"/>
        </w:rPr>
        <w:t xml:space="preserve">本文中の未解決コメント3件はいずれも「資料提供願います」であり、提供資料と1対1で対応する。過不足はない。</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700"/>
        <w:gridCol w:w="2400"/>
        <w:gridCol w:w="3200"/>
        <w:gridCol w:w="3338"/>
      </w:tblGrid>
      <w:tr>
        <w:trPr>
          <w:tblHeader/>
        </w:trPr>
        <w:tc>
          <w:tcPr>
            <w:tcW w:type="dxa" w:w="7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頁</w:t>
            </w:r>
          </w:p>
        </w:tc>
        <w:tc>
          <w:tcPr>
            <w:tcW w:type="dxa" w:w="24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本文の箇所</w:t>
            </w:r>
          </w:p>
        </w:tc>
        <w:tc>
          <w:tcPr>
            <w:tcW w:type="dxa" w:w="32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受領資料</w:t>
            </w:r>
          </w:p>
        </w:tc>
        <w:tc>
          <w:tcPr>
            <w:tcW w:type="dxa" w:w="333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内容</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p.3</w:t>
            </w:r>
          </w:p>
        </w:tc>
        <w:tc>
          <w:tcPr>
            <w:tcW w:type="dxa" w:w="24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《中札内村下水道処理区域図》</w:t>
            </w:r>
          </w:p>
        </w:tc>
        <w:tc>
          <w:tcPr>
            <w:tcW w:type="dxa" w:w="32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区域.pdf</w:t>
            </w:r>
          </w:p>
        </w:tc>
        <w:tc>
          <w:tcPr>
            <w:tcW w:type="dxa" w:w="33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中札内村都市計画図 1:5,000／中札内処理区・中札内浄化センター一般平面図</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p.19</w:t>
            </w:r>
          </w:p>
        </w:tc>
        <w:tc>
          <w:tcPr>
            <w:tcW w:type="dxa" w:w="24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4．施設の状況（1）管渠の状況</w:t>
            </w:r>
          </w:p>
        </w:tc>
        <w:tc>
          <w:tcPr>
            <w:tcW w:type="dxa" w:w="32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管渠延長.pdf</w:t>
            </w:r>
          </w:p>
        </w:tc>
        <w:tc>
          <w:tcPr>
            <w:tcW w:type="dxa" w:w="333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年度別・管径別の管渠延長表（平成4〜令和5年度／合計25,270.66m）</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p.20</w:t>
            </w:r>
          </w:p>
        </w:tc>
        <w:tc>
          <w:tcPr>
            <w:tcW w:type="dxa" w:w="24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（2）施設の状況　■処理場の概要</w:t>
            </w:r>
          </w:p>
        </w:tc>
        <w:tc>
          <w:tcPr>
            <w:tcW w:type="dxa" w:w="32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施設の概要.pdf</w:t>
            </w:r>
          </w:p>
        </w:tc>
        <w:tc>
          <w:tcPr>
            <w:tcW w:type="dxa" w:w="33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中札内村下水道事業の概要（全体計画・事業計画／処理場諸元）</w:t>
            </w:r>
          </w:p>
        </w:tc>
      </w:tr>
    </w:tbl>
    <w:p>
      <w:pPr>
        <w:spacing w:after="160" w:before="60"/>
        <w:ind w:left="170"/>
      </w:pPr>
      <w:r>
        <w:rPr>
          <w:rFonts w:ascii="Yu Gothic" w:eastAsia="Yu Gothic" w:hAnsi="Yu Gothic"/>
          <w:color w:val="5E6B67"/>
          <w:sz w:val="18"/>
          <w:szCs w:val="18"/>
        </w:rPr>
        <w:t xml:space="preserve">※　目次の「本文完成後調整」は既存の注記であり、本文確定後に頁番号を更新する最終工程にあたる。</w:t>
      </w:r>
    </w:p>
    <w:p>
      <w:pPr>
        <w:pBdr>
          <w:bottom w:val="single" w:color="0E5E62" w:sz="12" w:space="4"/>
        </w:pBdr>
        <w:spacing w:after="160" w:before="360"/>
      </w:pPr>
      <w:r>
        <w:rPr>
          <w:rFonts w:ascii="Yu Gothic" w:eastAsia="Yu Gothic" w:hAnsi="Yu Gothic"/>
          <w:b/>
          <w:bCs/>
          <w:color w:val="0E5E62"/>
          <w:sz w:val="26"/>
          <w:szCs w:val="26"/>
        </w:rPr>
        <w:t xml:space="preserve">３　</w:t>
      </w:r>
      <w:r>
        <w:rPr>
          <w:rFonts w:ascii="Yu Gothic" w:eastAsia="Yu Gothic" w:hAnsi="Yu Gothic"/>
          <w:b/>
          <w:bCs/>
          <w:color w:val="1A2422"/>
          <w:sz w:val="26"/>
          <w:szCs w:val="26"/>
        </w:rPr>
        <w:t xml:space="preserve">影響範囲試算で確定した修正必要箇所</w:t>
      </w:r>
    </w:p>
    <w:p>
      <w:pPr>
        <w:spacing w:after="120" w:before="260"/>
      </w:pPr>
      <w:r>
        <w:rPr>
          <w:rFonts w:ascii="Yu Gothic" w:eastAsia="Yu Gothic" w:hAnsi="Yu Gothic"/>
          <w:b/>
          <w:bCs/>
          <w:color w:val="0E5E62"/>
          <w:sz w:val="22"/>
          <w:szCs w:val="22"/>
        </w:rPr>
        <w:t xml:space="preserve">３-１　朱書き漏れの是正（2件）</w:t>
      </w:r>
    </w:p>
    <w:p>
      <w:pPr>
        <w:spacing w:after="120" w:before="0" w:line="300"/>
      </w:pPr>
      <w:r>
        <w:rPr>
          <w:rFonts w:ascii="Yu Gothic" w:eastAsia="Yu Gothic" w:hAnsi="Yu Gothic"/>
          <w:color w:val="1A2422"/>
          <w:sz w:val="21"/>
          <w:szCs w:val="21"/>
        </w:rPr>
        <w:t xml:space="preserve">本文を全文検索した結果、朱書きが入っていない同種の誤記が2件残っていた。これらを是正したことで、本文中の「町」「県」は残存ゼロとなった。</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700"/>
        <w:gridCol w:w="1750"/>
        <w:gridCol w:w="2650"/>
        <w:gridCol w:w="2650"/>
        <w:gridCol w:w="1888"/>
      </w:tblGrid>
      <w:tr>
        <w:trPr>
          <w:tblHeader/>
        </w:trPr>
        <w:tc>
          <w:tcPr>
            <w:tcW w:type="dxa" w:w="7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頁</w:t>
            </w:r>
          </w:p>
        </w:tc>
        <w:tc>
          <w:tcPr>
            <w:tcW w:type="dxa" w:w="17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箇所</w:t>
            </w:r>
          </w:p>
        </w:tc>
        <w:tc>
          <w:tcPr>
            <w:tcW w:type="dxa" w:w="26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修正前</w:t>
            </w:r>
          </w:p>
        </w:tc>
        <w:tc>
          <w:tcPr>
            <w:tcW w:type="dxa" w:w="26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修正後</w:t>
            </w:r>
          </w:p>
        </w:tc>
        <w:tc>
          <w:tcPr>
            <w:tcW w:type="dxa" w:w="188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対応</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w:t>
            </w:r>
          </w:p>
        </w:tc>
        <w:tc>
          <w:tcPr>
            <w:tcW w:type="dxa" w:w="17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（2）本村の下水道処理の歩み</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町は札内川流域に位置しており</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村は札内川流域に位置しており</w:t>
            </w:r>
          </w:p>
        </w:tc>
        <w:tc>
          <w:tcPr>
            <w:tcW w:type="dxa" w:w="18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p.20</w:t>
            </w:r>
          </w:p>
        </w:tc>
        <w:tc>
          <w:tcPr>
            <w:tcW w:type="dxa" w:w="17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（2）施設の状況</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本町における処理場は1施設で運用し</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本村における処理場は1施設で運用し</w:t>
            </w:r>
          </w:p>
        </w:tc>
        <w:tc>
          <w:tcPr>
            <w:tcW w:type="dxa" w:w="18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bl>
    <w:p>
      <w:pPr>
        <w:spacing w:after="120" w:before="260"/>
      </w:pPr>
      <w:r>
        <w:rPr>
          <w:rFonts w:ascii="Yu Gothic" w:eastAsia="Yu Gothic" w:hAnsi="Yu Gothic"/>
          <w:b/>
          <w:bCs/>
          <w:color w:val="0E5E62"/>
          <w:sz w:val="22"/>
          <w:szCs w:val="22"/>
        </w:rPr>
        <w:t xml:space="preserve">３-２　公表版との照合により確定した修正（6件）</w:t>
      </w:r>
    </w:p>
    <w:p>
      <w:pPr>
        <w:spacing w:after="120" w:before="0" w:line="300"/>
      </w:pPr>
      <w:r>
        <w:rPr>
          <w:rFonts w:ascii="Yu Gothic" w:eastAsia="Yu Gothic" w:hAnsi="Yu Gothic"/>
          <w:color w:val="1A2422"/>
          <w:sz w:val="21"/>
          <w:szCs w:val="21"/>
        </w:rPr>
        <w:t xml:space="preserve">現行公表版（令和7年2月策定）および添付の経営比較分析表（令和5年度決算）との突合せにより根拠が確定したもの。いずれも反映済みである。</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700"/>
        <w:gridCol w:w="1750"/>
        <w:gridCol w:w="2650"/>
        <w:gridCol w:w="2650"/>
        <w:gridCol w:w="1888"/>
      </w:tblGrid>
      <w:tr>
        <w:trPr>
          <w:tblHeader/>
        </w:trPr>
        <w:tc>
          <w:tcPr>
            <w:tcW w:type="dxa" w:w="7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頁／箇所</w:t>
            </w:r>
          </w:p>
        </w:tc>
        <w:tc>
          <w:tcPr>
            <w:tcW w:type="dxa" w:w="17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項目</w:t>
            </w:r>
          </w:p>
        </w:tc>
        <w:tc>
          <w:tcPr>
            <w:tcW w:type="dxa" w:w="26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修正前</w:t>
            </w:r>
          </w:p>
        </w:tc>
        <w:tc>
          <w:tcPr>
            <w:tcW w:type="dxa" w:w="26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修正後</w:t>
            </w:r>
          </w:p>
        </w:tc>
        <w:tc>
          <w:tcPr>
            <w:tcW w:type="dxa" w:w="188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対応</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w:t>
            </w:r>
          </w:p>
        </w:tc>
        <w:tc>
          <w:tcPr>
            <w:tcW w:type="dxa" w:w="17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地方公営企業法の適用区分</w:t>
            </w:r>
            <w:r>
              <w:rPr>
                <w:rFonts w:ascii="Yu Gothic" w:eastAsia="Yu Gothic" w:hAnsi="Yu Gothic"/>
                <w:color w:val="1A2422"/>
                <w:sz w:val="17"/>
                <w:szCs w:val="17"/>
              </w:rPr>
              <w:br/>
              <w:t xml:space="preserve">（論点A）</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全部適用へ移行し</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一部適用（財務規定等の適用）へ移行し</w:t>
            </w:r>
          </w:p>
        </w:tc>
        <w:tc>
          <w:tcPr>
            <w:tcW w:type="dxa" w:w="18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w:t>
            </w:r>
          </w:p>
        </w:tc>
        <w:tc>
          <w:tcPr>
            <w:tcW w:type="dxa" w:w="17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処理場の供用開始</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平成9（1997）年4月1日に供用を開始</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平成9（1997）年3月に供用を開始</w:t>
            </w:r>
          </w:p>
        </w:tc>
        <w:tc>
          <w:tcPr>
            <w:tcW w:type="dxa" w:w="18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p.20</w:t>
            </w:r>
          </w:p>
        </w:tc>
        <w:tc>
          <w:tcPr>
            <w:tcW w:type="dxa" w:w="17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処理場の稼働年数</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平成22（2010）年度から供用開始し、</w:t>
            </w:r>
            <w:r>
              <w:rPr>
                <w:rFonts w:ascii="Yu Gothic" w:eastAsia="Yu Gothic" w:hAnsi="Yu Gothic"/>
                <w:color w:val="1A2422"/>
                <w:sz w:val="17"/>
                <w:szCs w:val="17"/>
              </w:rPr>
              <w:br/>
              <w:t xml:space="preserve">令和6年度現在で15年</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平成8年度（平成9年3月）から</w:t>
            </w:r>
            <w:r>
              <w:rPr>
                <w:rFonts w:ascii="Yu Gothic" w:eastAsia="Yu Gothic" w:hAnsi="Yu Gothic"/>
                <w:color w:val="1A2422"/>
                <w:sz w:val="17"/>
                <w:szCs w:val="17"/>
              </w:rPr>
              <w:br/>
              <w:t xml:space="preserve">供用開始し、令和6年度現在で28年</w:t>
            </w:r>
          </w:p>
        </w:tc>
        <w:tc>
          <w:tcPr>
            <w:tcW w:type="dxa" w:w="18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Excel</w:t>
            </w:r>
            <w:r>
              <w:rPr>
                <w:rFonts w:ascii="Yu Gothic" w:eastAsia="Yu Gothic" w:hAnsi="Yu Gothic"/>
                <w:color w:val="1A2422"/>
                <w:sz w:val="17"/>
                <w:szCs w:val="17"/>
              </w:rPr>
              <w:br/>
              <w:t xml:space="preserve">建設改良費</w:t>
            </w:r>
          </w:p>
        </w:tc>
        <w:tc>
          <w:tcPr>
            <w:tcW w:type="dxa" w:w="17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令和7年度の事業費</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27,424千円</w:t>
            </w:r>
            <w:r>
              <w:rPr>
                <w:rFonts w:ascii="Yu Gothic" w:eastAsia="Yu Gothic" w:hAnsi="Yu Gothic"/>
                <w:color w:val="1A2422"/>
                <w:sz w:val="17"/>
                <w:szCs w:val="17"/>
              </w:rPr>
              <w:br/>
              <w:t xml:space="preserve">（管渠更新0＋処理場27,424）</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93,100千円</w:t>
            </w:r>
            <w:r>
              <w:rPr>
                <w:rFonts w:ascii="Yu Gothic" w:eastAsia="Yu Gothic" w:hAnsi="Yu Gothic"/>
                <w:color w:val="1A2422"/>
                <w:sz w:val="17"/>
                <w:szCs w:val="17"/>
              </w:rPr>
              <w:br/>
              <w:t xml:space="preserve">（管渠更新12,500＋処理場80,600）</w:t>
            </w:r>
          </w:p>
        </w:tc>
        <w:tc>
          <w:tcPr>
            <w:tcW w:type="dxa" w:w="18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Excel</w:t>
            </w:r>
            <w:r>
              <w:rPr>
                <w:rFonts w:ascii="Yu Gothic" w:eastAsia="Yu Gothic" w:hAnsi="Yu Gothic"/>
                <w:color w:val="1A2422"/>
                <w:sz w:val="17"/>
                <w:szCs w:val="17"/>
              </w:rPr>
              <w:br/>
              <w:t xml:space="preserve">下水道現況予測</w:t>
            </w:r>
          </w:p>
        </w:tc>
        <w:tc>
          <w:tcPr>
            <w:tcW w:type="dxa" w:w="17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汚水処理原価の分母</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一般家庭等のみ 244,695㎥</w:t>
            </w:r>
            <w:r>
              <w:rPr>
                <w:rFonts w:ascii="Yu Gothic" w:eastAsia="Yu Gothic" w:hAnsi="Yu Gothic"/>
                <w:color w:val="1A2422"/>
                <w:sz w:val="17"/>
                <w:szCs w:val="17"/>
              </w:rPr>
              <w:br/>
              <w:t xml:space="preserve">→ 446.36円/㎥</w:t>
            </w:r>
          </w:p>
        </w:tc>
        <w:tc>
          <w:tcPr>
            <w:tcW w:type="dxa" w:w="26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総有収水量 362,295㎥</w:t>
            </w:r>
            <w:r>
              <w:rPr>
                <w:rFonts w:ascii="Yu Gothic" w:eastAsia="Yu Gothic" w:hAnsi="Yu Gothic"/>
                <w:color w:val="1A2422"/>
                <w:sz w:val="17"/>
                <w:szCs w:val="17"/>
              </w:rPr>
              <w:br/>
              <w:t xml:space="preserve">→ 301.48円/㎥</w:t>
            </w:r>
          </w:p>
        </w:tc>
        <w:tc>
          <w:tcPr>
            <w:tcW w:type="dxa" w:w="18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Excel</w:t>
            </w:r>
            <w:r>
              <w:rPr>
                <w:rFonts w:ascii="Yu Gothic" w:eastAsia="Yu Gothic" w:hAnsi="Yu Gothic"/>
                <w:color w:val="1A2422"/>
                <w:sz w:val="17"/>
                <w:szCs w:val="17"/>
              </w:rPr>
              <w:br/>
              <w:t xml:space="preserve">シミュレーションまとめ</w:t>
            </w:r>
          </w:p>
        </w:tc>
        <w:tc>
          <w:tcPr>
            <w:tcW w:type="dxa" w:w="17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パターン1の使用料単価</w:t>
            </w:r>
            <w:r>
              <w:rPr>
                <w:rFonts w:ascii="Yu Gothic" w:eastAsia="Yu Gothic" w:hAnsi="Yu Gothic"/>
                <w:color w:val="1A2422"/>
                <w:sz w:val="17"/>
                <w:szCs w:val="17"/>
              </w:rPr>
              <w:br/>
              <w:t xml:space="preserve">（論点E）</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180.8円（改定額10.3円）</w:t>
            </w:r>
          </w:p>
        </w:tc>
        <w:tc>
          <w:tcPr>
            <w:tcW w:type="dxa" w:w="26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187.55円（改定額17.05円）</w:t>
            </w:r>
          </w:p>
        </w:tc>
        <w:tc>
          <w:tcPr>
            <w:tcW w:type="dxa" w:w="18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bl>
    <w:p>
      <w:pPr>
        <w:spacing w:after="120" w:before="260"/>
      </w:pPr>
      <w:r>
        <w:rPr>
          <w:rFonts w:ascii="Yu Gothic" w:eastAsia="Yu Gothic" w:hAnsi="Yu Gothic"/>
          <w:b/>
          <w:bCs/>
          <w:color w:val="0E5E62"/>
          <w:sz w:val="22"/>
          <w:szCs w:val="22"/>
        </w:rPr>
        <w:t xml:space="preserve">■　確定の根拠</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2000"/>
        <w:gridCol w:w="7638"/>
      </w:tblGrid>
      <w:tr>
        <w:trPr>
          <w:tblHeader/>
        </w:trPr>
        <w:tc>
          <w:tcPr>
            <w:tcW w:type="dxa" w:w="20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項目</w:t>
            </w:r>
          </w:p>
        </w:tc>
        <w:tc>
          <w:tcPr>
            <w:tcW w:type="dxa" w:w="763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根拠</w:t>
            </w:r>
          </w:p>
        </w:tc>
      </w:tr>
      <w:tr>
        <w:tc>
          <w:tcPr>
            <w:tcW w:type="dxa" w:w="20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適用区分</w:t>
            </w:r>
          </w:p>
        </w:tc>
        <w:tc>
          <w:tcPr>
            <w:tcW w:type="dxa" w:w="76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公表版1頁「法適の区分＝一部適用」、4頁「公営企業法の一部適用であり」、経営比較分析表の全体総括「令和4年度に公営企業会計に移行した」の三箇所が一致。朱書きは年次のみを修正しており、区分そのものの誤りは指摘されていなかった。</w:t>
            </w:r>
          </w:p>
        </w:tc>
      </w:tr>
      <w:tr>
        <w:tc>
          <w:tcPr>
            <w:tcW w:type="dxa" w:w="20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供用開始</w:t>
            </w:r>
          </w:p>
        </w:tc>
        <w:tc>
          <w:tcPr>
            <w:tcW w:type="dxa" w:w="763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公表版1頁「供用開始年度（供用開始後年数）＝平成8年度（28年）」。提供資料「施設の概要.pdf」の供用年月日「平成9年3月」は平成8年度内にあたり整合する。本文p.2の「4月1日」は平成9年度となってしまうため月表記に改めた。</w:t>
            </w:r>
          </w:p>
        </w:tc>
      </w:tr>
      <w:tr>
        <w:tc>
          <w:tcPr>
            <w:tcW w:type="dxa" w:w="20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建設改良費</w:t>
            </w:r>
          </w:p>
        </w:tc>
        <w:tc>
          <w:tcPr>
            <w:tcW w:type="dxa" w:w="76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公表版の投資・財政計画（様式第2号・資本的支出）の令和7年度は93,100千円。本文p.25も93,100千円であり、Excelの27,424千円のみが食い違っていた。修正後の財源は国庫40,300／企業債46,550／自己財源6,250となり、本文p.26の財源表と完全に一致する。10年間の投資総額も1,406,952千円＝約14.1億円となり本文記述と整合した。</w:t>
            </w:r>
          </w:p>
        </w:tc>
      </w:tr>
      <w:tr>
        <w:tc>
          <w:tcPr>
            <w:tcW w:type="dxa" w:w="20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原価の分母</w:t>
            </w:r>
          </w:p>
        </w:tc>
        <w:tc>
          <w:tcPr>
            <w:tcW w:type="dxa" w:w="763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公表版3頁「将来有収水量（工場排水以外＋工場排水）に使用料単価を乗じて推計」。工場排水は日平均490㎥/日＝年間117,600㎥で、これを含めた総有収水量を分母とするのが総務省定義。修正後の301.48円/㎥は令和5年度実績294.74円/㎥（経営比較分析表⑥）と連続する。</w:t>
            </w:r>
          </w:p>
        </w:tc>
      </w:tr>
      <w:tr>
        <w:tc>
          <w:tcPr>
            <w:tcW w:type="dxa" w:w="20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使用料単価</w:t>
            </w:r>
          </w:p>
        </w:tc>
        <w:tc>
          <w:tcPr>
            <w:tcW w:type="dxa" w:w="76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パターン2〜4は各「予測(2)」シートへのリンクであるのに対し、パターン1のみ「シミュレーションまとめ」F8に180.8が直接入力されていた。改定率10%であれば170.5×1.10＝187.55円が正しい（180.8円では実質6.0%の改定にとどまる）。使用料収入の計算自体は170.5×110%で正しく処理されており、誤っていたのは表示値のみ。</w:t>
            </w:r>
          </w:p>
        </w:tc>
      </w:tr>
    </w:tbl>
    <w:p>
      <w:pPr>
        <w:spacing w:after="120" w:before="260"/>
      </w:pPr>
      <w:r>
        <w:rPr>
          <w:rFonts w:ascii="Yu Gothic" w:eastAsia="Yu Gothic" w:hAnsi="Yu Gothic"/>
          <w:b/>
          <w:bCs/>
          <w:color w:val="0E5E62"/>
          <w:sz w:val="22"/>
          <w:szCs w:val="22"/>
        </w:rPr>
        <w:t xml:space="preserve">３-３　提供資料の反映に伴い修正が必要な箇所（未着手）</w:t>
      </w:r>
    </w:p>
    <w:p>
      <w:pPr>
        <w:spacing w:after="120" w:before="0" w:line="300"/>
      </w:pPr>
      <w:r>
        <w:rPr>
          <w:rFonts w:ascii="Yu Gothic" w:eastAsia="Yu Gothic" w:hAnsi="Yu Gothic"/>
          <w:color w:val="1A2422"/>
          <w:sz w:val="21"/>
          <w:szCs w:val="21"/>
        </w:rPr>
        <w:t xml:space="preserve">提供資料と現行本文を突き合わせた結果、p.19およびp.20には他団体（青森県三戸町）の記載がそのまま残存していることが判明した。図表の差し替えだけでなく、本文の数値記述も連動して書き換える必要がある。</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700"/>
        <w:gridCol w:w="2100"/>
        <w:gridCol w:w="2900"/>
        <w:gridCol w:w="2450"/>
        <w:gridCol w:w="1488"/>
      </w:tblGrid>
      <w:tr>
        <w:trPr>
          <w:tblHeader/>
        </w:trPr>
        <w:tc>
          <w:tcPr>
            <w:tcW w:type="dxa" w:w="7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頁</w:t>
            </w:r>
          </w:p>
        </w:tc>
        <w:tc>
          <w:tcPr>
            <w:tcW w:type="dxa" w:w="21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箇所</w:t>
            </w:r>
          </w:p>
        </w:tc>
        <w:tc>
          <w:tcPr>
            <w:tcW w:type="dxa" w:w="29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現行の記載</w:t>
            </w:r>
          </w:p>
        </w:tc>
        <w:tc>
          <w:tcPr>
            <w:tcW w:type="dxa" w:w="24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正しい内容</w:t>
            </w:r>
          </w:p>
        </w:tc>
        <w:tc>
          <w:tcPr>
            <w:tcW w:type="dxa" w:w="148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対応</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p.3</w:t>
            </w:r>
          </w:p>
        </w:tc>
        <w:tc>
          <w:tcPr>
            <w:tcW w:type="dxa" w:w="21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処理区域図</w:t>
            </w:r>
          </w:p>
        </w:tc>
        <w:tc>
          <w:tcPr>
            <w:tcW w:type="dxa" w:w="29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白紙（見出しのみ）</w:t>
            </w:r>
          </w:p>
        </w:tc>
        <w:tc>
          <w:tcPr>
            <w:tcW w:type="dxa" w:w="24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区域.pdfを貼り込み</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p.19</w:t>
            </w:r>
          </w:p>
        </w:tc>
        <w:tc>
          <w:tcPr>
            <w:tcW w:type="dxa" w:w="21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総管渠延長</w:t>
            </w:r>
          </w:p>
        </w:tc>
        <w:tc>
          <w:tcPr>
            <w:tcW w:type="dxa" w:w="29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171,347.05m（管更生含む）</w:t>
            </w:r>
          </w:p>
        </w:tc>
        <w:tc>
          <w:tcPr>
            <w:tcW w:type="dxa" w:w="24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25,270.66m（提供資料の合計値）</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p.19</w:t>
            </w:r>
          </w:p>
        </w:tc>
        <w:tc>
          <w:tcPr>
            <w:tcW w:type="dxa" w:w="21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布設地区・年代</w:t>
            </w:r>
          </w:p>
        </w:tc>
        <w:tc>
          <w:tcPr>
            <w:tcW w:type="dxa" w:w="29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約26%の昭和世代に布設された笹尾・城山地区</w:t>
            </w:r>
          </w:p>
        </w:tc>
        <w:tc>
          <w:tcPr>
            <w:tcW w:type="dxa" w:w="24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該当なし。笹尾・城山は村内に存在せず、管渠は全て平成4年度以降の布設</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p.19</w:t>
            </w:r>
          </w:p>
        </w:tc>
        <w:tc>
          <w:tcPr>
            <w:tcW w:type="dxa" w:w="21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耐用年数の到達</w:t>
            </w:r>
          </w:p>
        </w:tc>
        <w:tc>
          <w:tcPr>
            <w:tcW w:type="dxa" w:w="29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本計画期間中の10年間で耐用年数を迎える管渠は全体の約26%</w:t>
            </w:r>
          </w:p>
        </w:tc>
        <w:tc>
          <w:tcPr>
            <w:tcW w:type="dxa" w:w="24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0m（0%）。法定耐用年数50年で最古管の到達は令和24年度</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p.19</w:t>
            </w:r>
          </w:p>
        </w:tc>
        <w:tc>
          <w:tcPr>
            <w:tcW w:type="dxa" w:w="21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下水道普及率</w:t>
            </w:r>
          </w:p>
        </w:tc>
        <w:tc>
          <w:tcPr>
            <w:tcW w:type="dxa" w:w="29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村内での下水道普及率はほぼ100%</w:t>
            </w:r>
          </w:p>
        </w:tc>
        <w:tc>
          <w:tcPr>
            <w:tcW w:type="dxa" w:w="24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69.48%（経営比較分析表・令和5年度決算）</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p.19</w:t>
            </w:r>
          </w:p>
        </w:tc>
        <w:tc>
          <w:tcPr>
            <w:tcW w:type="dxa" w:w="21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整備延長グラフ</w:t>
            </w:r>
          </w:p>
        </w:tc>
        <w:tc>
          <w:tcPr>
            <w:tcW w:type="dxa" w:w="29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1976〜2024年のデータ</w:t>
            </w:r>
          </w:p>
        </w:tc>
        <w:tc>
          <w:tcPr>
            <w:tcW w:type="dxa" w:w="24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平成4〜令和5年度のデータで再作成</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p.20</w:t>
            </w:r>
          </w:p>
        </w:tc>
        <w:tc>
          <w:tcPr>
            <w:tcW w:type="dxa" w:w="21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処理場の概要（表）</w:t>
            </w:r>
          </w:p>
        </w:tc>
        <w:tc>
          <w:tcPr>
            <w:tcW w:type="dxa" w:w="29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三戸浄化センター／3,180㎥日／</w:t>
            </w:r>
            <w:r>
              <w:rPr>
                <w:rFonts w:ascii="Yu Gothic" w:eastAsia="Yu Gothic" w:hAnsi="Yu Gothic"/>
                <w:color w:val="1A2422"/>
                <w:sz w:val="17"/>
                <w:szCs w:val="17"/>
              </w:rPr>
              <w:br/>
              <w:t xml:space="preserve">計画処理人口4,120人</w:t>
            </w:r>
          </w:p>
        </w:tc>
        <w:tc>
          <w:tcPr>
            <w:tcW w:type="dxa" w:w="24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中札内浄化センター／1,520㎥日</w:t>
            </w:r>
            <w:r>
              <w:rPr>
                <w:rFonts w:ascii="Yu Gothic" w:eastAsia="Yu Gothic" w:hAnsi="Yu Gothic"/>
                <w:color w:val="1A2422"/>
                <w:sz w:val="17"/>
                <w:szCs w:val="17"/>
              </w:rPr>
              <w:br/>
              <w:t xml:space="preserve">（760×2池）／計画区域内人口2,661人</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p.20</w:t>
            </w:r>
          </w:p>
        </w:tc>
        <w:tc>
          <w:tcPr>
            <w:tcW w:type="dxa" w:w="21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主要施設一覧</w:t>
            </w:r>
          </w:p>
        </w:tc>
        <w:tc>
          <w:tcPr>
            <w:tcW w:type="dxa" w:w="29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三戸浄化センターの設備構成</w:t>
            </w:r>
          </w:p>
        </w:tc>
        <w:tc>
          <w:tcPr>
            <w:tcW w:type="dxa" w:w="24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中札内浄化センターの実データ（未入手）</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照会中</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p.25</w:t>
            </w:r>
          </w:p>
        </w:tc>
        <w:tc>
          <w:tcPr>
            <w:tcW w:type="dxa" w:w="21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管渠の経過年数</w:t>
            </w:r>
          </w:p>
        </w:tc>
        <w:tc>
          <w:tcPr>
            <w:tcW w:type="dxa" w:w="29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管渠は古いもので約40年が過ぎています</w:t>
            </w:r>
          </w:p>
        </w:tc>
        <w:tc>
          <w:tcPr>
            <w:tcW w:type="dxa" w:w="24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約33年（最古は平成4年度布設）</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p.25</w:t>
            </w:r>
          </w:p>
        </w:tc>
        <w:tc>
          <w:tcPr>
            <w:tcW w:type="dxa" w:w="21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耐用年数の到達</w:t>
            </w:r>
          </w:p>
        </w:tc>
        <w:tc>
          <w:tcPr>
            <w:tcW w:type="dxa" w:w="29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計画期間中に全体の約1／4が耐用年数を迎える</w:t>
            </w:r>
          </w:p>
        </w:tc>
        <w:tc>
          <w:tcPr>
            <w:tcW w:type="dxa" w:w="24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0%</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bl>
    <w:p>
      <w:pPr>
        <w:spacing w:after="160" w:before="60"/>
        <w:ind w:left="170"/>
      </w:pPr>
      <w:r>
        <w:rPr>
          <w:rFonts w:ascii="Yu Gothic" w:eastAsia="Yu Gothic" w:hAnsi="Yu Gothic"/>
          <w:color w:val="5E6B67"/>
          <w:sz w:val="18"/>
          <w:szCs w:val="18"/>
        </w:rPr>
        <w:t xml:space="preserve">※　管渠老朽化率は経営比較分析表で0.00%（類似団体平均0.07%）であり、耐用年数超過の管渠が存在しないことを裏付けている。また分析欄にも「下水道管渠は供用開始後20年以上経過しているが、現状では不明水も見られず、目視点検においても大きな異常は認められない」と記載されている。</w:t>
      </w:r>
    </w:p>
    <w:p>
      <w:pPr>
        <w:spacing w:after="120" w:before="260"/>
      </w:pPr>
      <w:r>
        <w:rPr>
          <w:rFonts w:ascii="Yu Gothic" w:eastAsia="Yu Gothic" w:hAnsi="Yu Gothic"/>
          <w:b/>
          <w:bCs/>
          <w:color w:val="0E5E62"/>
          <w:sz w:val="22"/>
          <w:szCs w:val="22"/>
        </w:rPr>
        <w:t xml:space="preserve">３-４　シミュレーション（Excel）側に残る修正</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2300"/>
        <w:gridCol w:w="5850"/>
        <w:gridCol w:w="1488"/>
      </w:tblGrid>
      <w:tr>
        <w:trPr>
          <w:tblHeader/>
        </w:trPr>
        <w:tc>
          <w:tcPr>
            <w:tcW w:type="dxa" w:w="23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シート／箇所</w:t>
            </w:r>
          </w:p>
        </w:tc>
        <w:tc>
          <w:tcPr>
            <w:tcW w:type="dxa" w:w="585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内容</w:t>
            </w:r>
          </w:p>
        </w:tc>
        <w:tc>
          <w:tcPr>
            <w:tcW w:type="dxa" w:w="148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対応</w:t>
            </w:r>
          </w:p>
        </w:tc>
      </w:tr>
      <w:tr>
        <w:tc>
          <w:tcPr>
            <w:tcW w:type="dxa" w:w="23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予測　A3:D3</w:t>
            </w:r>
          </w:p>
        </w:tc>
        <w:tc>
          <w:tcPr>
            <w:tcW w:type="dxa" w:w="58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推計の自治体設定が「コード2441・青森県三戸町」のまま。12〜14行の人口は中札内村の値が直接入力されており推計式とは切れているが、設定行が残っていると出典説明と矛盾する。整理方法は論点Gの判断に連動。</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方針待ち</w:t>
            </w:r>
          </w:p>
        </w:tc>
      </w:tr>
      <w:tr>
        <w:tc>
          <w:tcPr>
            <w:tcW w:type="dxa" w:w="23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下水過去</w:t>
            </w:r>
          </w:p>
        </w:tc>
        <w:tc>
          <w:tcPr>
            <w:tcW w:type="dxa" w:w="58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行政区域内人口11,023→8,699人など三戸町の実績値。他シートからの参照はゼロのため、財政計算への波及はなく整理のみで足りる。</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23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簡水過去</w:t>
            </w:r>
          </w:p>
        </w:tc>
        <w:tc>
          <w:tcPr>
            <w:tcW w:type="dxa" w:w="58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同じく三戸町の実績値。ただし「予測(2)P1-10%」〜「P4-30%」の31行・36行から参照されており、簡易水道の推計に波及する。中札内村の実績値が必要。</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照会中</w:t>
            </w:r>
          </w:p>
        </w:tc>
      </w:tr>
      <w:tr>
        <w:tc>
          <w:tcPr>
            <w:tcW w:type="dxa" w:w="23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下水道現況予測</w:t>
            </w:r>
          </w:p>
        </w:tc>
        <w:tc>
          <w:tcPr>
            <w:tcW w:type="dxa" w:w="585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1行目が「3事業合算」（本村は特定環境保全公共下水道の1事業のみ）。13〜14行の普及率・水洗化率が#DIV/0!。外部リンクが小松市・東員町のブックを指しており、約960箇所ずつ参照している。</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r>
        <w:tc>
          <w:tcPr>
            <w:tcW w:type="dxa" w:w="23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建設改良費(2)</w:t>
            </w:r>
          </w:p>
        </w:tc>
        <w:tc>
          <w:tcPr>
            <w:tcW w:type="dxa" w:w="585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C列・D列（令和5・6年度）および37行以下に#REF!が残存。</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未着手</w:t>
            </w:r>
          </w:p>
        </w:tc>
      </w:tr>
    </w:tbl>
    <w:p>
      <w:pPr>
        <w:pBdr>
          <w:bottom w:val="single" w:color="0E5E62" w:sz="12" w:space="4"/>
        </w:pBdr>
        <w:spacing w:after="160" w:before="360"/>
      </w:pPr>
      <w:r>
        <w:rPr>
          <w:rFonts w:ascii="Yu Gothic" w:eastAsia="Yu Gothic" w:hAnsi="Yu Gothic"/>
          <w:b/>
          <w:bCs/>
          <w:color w:val="0E5E62"/>
          <w:sz w:val="26"/>
          <w:szCs w:val="26"/>
        </w:rPr>
        <w:t xml:space="preserve">４　</w:t>
      </w:r>
      <w:r>
        <w:rPr>
          <w:rFonts w:ascii="Yu Gothic" w:eastAsia="Yu Gothic" w:hAnsi="Yu Gothic"/>
          <w:b/>
          <w:bCs/>
          <w:color w:val="1A2422"/>
          <w:sz w:val="26"/>
          <w:szCs w:val="26"/>
        </w:rPr>
        <w:t xml:space="preserve">新たに判明した論点</w:t>
      </w:r>
    </w:p>
    <w:p>
      <w:pPr>
        <w:spacing w:after="120" w:before="0" w:line="300"/>
      </w:pPr>
      <w:r>
        <w:rPr>
          <w:rFonts w:ascii="Yu Gothic" w:eastAsia="Yu Gothic" w:hAnsi="Yu Gothic"/>
          <w:color w:val="1A2422"/>
          <w:sz w:val="21"/>
          <w:szCs w:val="21"/>
        </w:rPr>
        <w:t xml:space="preserve">朱書きでは指摘されていないが、提供資料および公表版との突合せにより判明した不整合。AおよびEは村の指示により修正済み。その他は方針判断または照会を要する。</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560"/>
        <w:gridCol w:w="2300"/>
        <w:gridCol w:w="5290"/>
        <w:gridCol w:w="1488"/>
      </w:tblGrid>
      <w:tr>
        <w:trPr>
          <w:tblHeader/>
        </w:trPr>
        <w:tc>
          <w:tcPr>
            <w:tcW w:type="dxa" w:w="56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
            </w:r>
          </w:p>
        </w:tc>
        <w:tc>
          <w:tcPr>
            <w:tcW w:type="dxa" w:w="23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論点</w:t>
            </w:r>
          </w:p>
        </w:tc>
        <w:tc>
          <w:tcPr>
            <w:tcW w:type="dxa" w:w="529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内容</w:t>
            </w:r>
          </w:p>
        </w:tc>
        <w:tc>
          <w:tcPr>
            <w:tcW w:type="dxa" w:w="148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対応</w:t>
            </w:r>
          </w:p>
        </w:tc>
      </w:tr>
      <w:tr>
        <w:tc>
          <w:tcPr>
            <w:tcW w:type="dxa" w:w="56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A</w:t>
            </w:r>
          </w:p>
        </w:tc>
        <w:tc>
          <w:tcPr>
            <w:tcW w:type="dxa" w:w="23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法適用区分の誤り</w:t>
            </w:r>
          </w:p>
        </w:tc>
        <w:tc>
          <w:tcPr>
            <w:tcW w:type="dxa" w:w="529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本文p.2は「全部適用」としているが、公表版は三箇所で「一部適用」。区分そのものが誤っていた。</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56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B</w:t>
            </w:r>
          </w:p>
        </w:tc>
        <w:tc>
          <w:tcPr>
            <w:tcW w:type="dxa" w:w="23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汚水処理原価が高い原因の説明</w:t>
            </w:r>
          </w:p>
        </w:tc>
        <w:tc>
          <w:tcPr>
            <w:tcW w:type="dxa" w:w="529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本文p.18は「現状の施設能力に対して稼働が正しく賄えていない状況」とするが、公表版の分析欄は施設利用率71.78%（類似団体平均42.09%）をもって「適正規模での施設運営であるといえる」としており、記述が逆になっている。</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方針待ち</w:t>
            </w:r>
          </w:p>
        </w:tc>
      </w:tr>
      <w:tr>
        <w:tc>
          <w:tcPr>
            <w:tcW w:type="dxa" w:w="56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C</w:t>
            </w:r>
          </w:p>
        </w:tc>
        <w:tc>
          <w:tcPr>
            <w:tcW w:type="dxa" w:w="23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使用料改定の時期と率</w:t>
            </w:r>
          </w:p>
        </w:tc>
        <w:tc>
          <w:tcPr>
            <w:tcW w:type="dxa" w:w="529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公表版は令和8年度から料金収入を61,683→98,928千円（＋60.4%）とする引上げを織り込み済み。改定案は令和9年度から10〜30%であり、前提の大幅な下方修正かつ1年の後ろ倒しとなる。社会資本整備総合交付金の支給要件（使用料適正化ロードマップ）に関わるため、改定理由の明記または方針のすり合わせが必要。</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方針待ち</w:t>
            </w:r>
          </w:p>
        </w:tc>
      </w:tr>
      <w:tr>
        <w:tc>
          <w:tcPr>
            <w:tcW w:type="dxa" w:w="56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D</w:t>
            </w:r>
          </w:p>
        </w:tc>
        <w:tc>
          <w:tcPr>
            <w:tcW w:type="dxa" w:w="23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他会計補助金の前提</w:t>
            </w:r>
          </w:p>
        </w:tc>
        <w:tc>
          <w:tcPr>
            <w:tcW w:type="dxa" w:w="529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公表版は令和7年度55,771千円とするのに対し、改定案のExcelは88,514千円（公表版の令和6年度値）を置いており、差は＋32,743千円。繰入金は経常収支比率を直接押し上げるため、シミュレーションの合否判定に影響する。</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方針待ち</w:t>
            </w:r>
          </w:p>
        </w:tc>
      </w:tr>
      <w:tr>
        <w:tc>
          <w:tcPr>
            <w:tcW w:type="dxa" w:w="56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E</w:t>
            </w:r>
          </w:p>
        </w:tc>
        <w:tc>
          <w:tcPr>
            <w:tcW w:type="dxa" w:w="23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パターン1の使用料単価</w:t>
            </w:r>
          </w:p>
        </w:tc>
        <w:tc>
          <w:tcPr>
            <w:tcW w:type="dxa" w:w="529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「シミュレーションまとめ」F8のみ手入力の180.8円。170.5×110%＝187.55円が正しい。計算自体は正しく回っており、誤りは表示値のみ。</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修正済</w:t>
            </w:r>
          </w:p>
        </w:tc>
      </w:tr>
      <w:tr>
        <w:tc>
          <w:tcPr>
            <w:tcW w:type="dxa" w:w="56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F</w:t>
            </w:r>
          </w:p>
        </w:tc>
        <w:tc>
          <w:tcPr>
            <w:tcW w:type="dxa" w:w="23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処理能力の逆算値の不一致</w:t>
            </w:r>
          </w:p>
        </w:tc>
        <w:tc>
          <w:tcPr>
            <w:tcW w:type="dxa" w:w="529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令和5年度の有収水量357,117㎥を有収率101.76%で割り戻すと総処理水量は約962㎥/日。施設利用率71.78%で割ると1日処理能力は約1,340㎥/日となり、提供資料の1,520㎥/日（760×2池）と約12%ずれる。認可能力と現有能力の違いか、分析表の算定根拠の問題か。</w:t>
            </w:r>
          </w:p>
        </w:tc>
        <w:tc>
          <w:tcPr>
            <w:tcW w:type="dxa" w:w="1488"/>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照会中</w:t>
            </w:r>
          </w:p>
        </w:tc>
      </w:tr>
      <w:tr>
        <w:tc>
          <w:tcPr>
            <w:tcW w:type="dxa" w:w="56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G</w:t>
            </w:r>
          </w:p>
        </w:tc>
        <w:tc>
          <w:tcPr>
            <w:tcW w:type="dxa" w:w="23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将来人口の推計根拠の矛盾</w:t>
            </w:r>
          </w:p>
        </w:tc>
        <w:tc>
          <w:tcPr>
            <w:tcW w:type="dxa" w:w="529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同じ節（Ⅲ-1 有収水量の予測）の中で、説明文は「国立社会保障・人口問題研究所による推計」、前提条件ボックスは「第7期中札内村まちづくり計画より村独自推計」としている。公表版3頁は村独自推計であり、誤りは説明文のほうと考えられる。あわせて普及率・水洗化率の平均年度も令和4〜6年度（説明文）と令和3〜5年度（前提条件）で食い違っている。</w:t>
            </w:r>
          </w:p>
        </w:tc>
        <w:tc>
          <w:tcPr>
            <w:tcW w:type="dxa" w:w="1488"/>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方針待ち</w:t>
            </w:r>
          </w:p>
        </w:tc>
      </w:tr>
    </w:tbl>
    <w:p>
      <w:pPr>
        <w:pBdr>
          <w:bottom w:val="single" w:color="0E5E62" w:sz="12" w:space="4"/>
        </w:pBdr>
        <w:spacing w:after="160" w:before="360"/>
      </w:pPr>
      <w:r>
        <w:rPr>
          <w:rFonts w:ascii="Yu Gothic" w:eastAsia="Yu Gothic" w:hAnsi="Yu Gothic"/>
          <w:b/>
          <w:bCs/>
          <w:color w:val="0E5E62"/>
          <w:sz w:val="26"/>
          <w:szCs w:val="26"/>
        </w:rPr>
        <w:t xml:space="preserve">５　</w:t>
      </w:r>
      <w:r>
        <w:rPr>
          <w:rFonts w:ascii="Yu Gothic" w:eastAsia="Yu Gothic" w:hAnsi="Yu Gothic"/>
          <w:b/>
          <w:bCs/>
          <w:color w:val="1A2422"/>
          <w:sz w:val="26"/>
          <w:szCs w:val="26"/>
        </w:rPr>
        <w:t xml:space="preserve">対応状況サマリ</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2400"/>
        <w:gridCol w:w="1400"/>
        <w:gridCol w:w="5838"/>
      </w:tblGrid>
      <w:tr>
        <w:trPr>
          <w:tblHeader/>
        </w:trPr>
        <w:tc>
          <w:tcPr>
            <w:tcW w:type="dxa" w:w="24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区分</w:t>
            </w:r>
          </w:p>
        </w:tc>
        <w:tc>
          <w:tcPr>
            <w:tcW w:type="dxa" w:w="14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件数</w:t>
            </w:r>
          </w:p>
        </w:tc>
        <w:tc>
          <w:tcPr>
            <w:tcW w:type="dxa" w:w="583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内容</w:t>
            </w:r>
          </w:p>
        </w:tc>
      </w:tr>
      <w:tr>
        <w:tc>
          <w:tcPr>
            <w:tcW w:type="dxa" w:w="2400"/>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本文（docx）修正済</w:t>
            </w:r>
          </w:p>
        </w:tc>
        <w:tc>
          <w:tcPr>
            <w:tcW w:type="dxa" w:w="1400"/>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14箇所</w:t>
            </w:r>
          </w:p>
        </w:tc>
        <w:tc>
          <w:tcPr>
            <w:tcW w:type="dxa" w:w="58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朱書きどおり9件＋朱書き漏れ2件＋論点A・供用開始年3件</w:t>
            </w:r>
          </w:p>
        </w:tc>
      </w:tr>
      <w:tr>
        <w:tc>
          <w:tcPr>
            <w:tcW w:type="dxa" w:w="24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Excel修正済</w:t>
            </w:r>
          </w:p>
        </w:tc>
        <w:tc>
          <w:tcPr>
            <w:tcW w:type="dxa" w:w="1400"/>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2F6B45"/>
                <w:sz w:val="17"/>
                <w:szCs w:val="17"/>
              </w:rPr>
              <w:t xml:space="preserve">109セル</w:t>
            </w:r>
          </w:p>
        </w:tc>
        <w:tc>
          <w:tcPr>
            <w:tcW w:type="dxa" w:w="583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パターン1使用料単価3セル＋令和7年度建設改良費6セル＋汚水処理原価の分母100セル</w:t>
            </w:r>
          </w:p>
        </w:tc>
      </w:tr>
      <w:tr>
        <w:tc>
          <w:tcPr>
            <w:tcW w:type="dxa" w:w="2400"/>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資料反映が必要</w:t>
            </w:r>
          </w:p>
        </w:tc>
        <w:tc>
          <w:tcPr>
            <w:tcW w:type="dxa" w:w="1400"/>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10箇所</w:t>
            </w:r>
          </w:p>
        </w:tc>
        <w:tc>
          <w:tcPr>
            <w:tcW w:type="dxa" w:w="58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p.3・p.19・p.20・p.25の本文および図表。うち1件は資料未入手</w:t>
            </w:r>
          </w:p>
        </w:tc>
      </w:tr>
      <w:tr>
        <w:tc>
          <w:tcPr>
            <w:tcW w:type="dxa" w:w="24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Excel整理が必要</w:t>
            </w:r>
          </w:p>
        </w:tc>
        <w:tc>
          <w:tcPr>
            <w:tcW w:type="dxa" w:w="1400"/>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A33520"/>
                <w:sz w:val="17"/>
                <w:szCs w:val="17"/>
              </w:rPr>
              <w:t xml:space="preserve">5項目</w:t>
            </w:r>
          </w:p>
        </w:tc>
        <w:tc>
          <w:tcPr>
            <w:tcW w:type="dxa" w:w="583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三戸町データの残存、#REF!、外部リンク、事業数の表記</w:t>
            </w:r>
          </w:p>
        </w:tc>
      </w:tr>
      <w:tr>
        <w:tc>
          <w:tcPr>
            <w:tcW w:type="dxa" w:w="2400"/>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方針判断待ち</w:t>
            </w:r>
          </w:p>
        </w:tc>
        <w:tc>
          <w:tcPr>
            <w:tcW w:type="dxa" w:w="1400"/>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5論点</w:t>
            </w:r>
          </w:p>
        </w:tc>
        <w:tc>
          <w:tcPr>
            <w:tcW w:type="dxa" w:w="58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論点B・C・D・G および 予測シートの自治体設定</w:t>
            </w:r>
          </w:p>
        </w:tc>
      </w:tr>
      <w:tr>
        <w:tc>
          <w:tcPr>
            <w:tcW w:type="dxa" w:w="24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村への照会中</w:t>
            </w:r>
          </w:p>
        </w:tc>
        <w:tc>
          <w:tcPr>
            <w:tcW w:type="dxa" w:w="1400"/>
            <w:shd w:fill="F5F8F7" w:color="auto" w:val="clear"/>
            <w:tcMar>
              <w:top w:type="dxa" w:w="60"/>
              <w:left w:type="dxa" w:w="100"/>
              <w:bottom w:type="dxa" w:w="60"/>
              <w:right w:type="dxa" w:w="100"/>
            </w:tcMar>
            <w:vAlign w:val="center"/>
          </w:tcPr>
          <w:p>
            <w:pPr>
              <w:spacing w:after="0" w:before="0" w:line="260"/>
              <w:jc w:val="center"/>
            </w:pPr>
            <w:r>
              <w:rPr>
                <w:rFonts w:ascii="Yu Gothic" w:eastAsia="Yu Gothic" w:hAnsi="Yu Gothic"/>
                <w:b/>
                <w:bCs/>
                <w:color w:val="8A6512"/>
                <w:sz w:val="17"/>
                <w:szCs w:val="17"/>
              </w:rPr>
              <w:t xml:space="preserve">3件</w:t>
            </w:r>
          </w:p>
        </w:tc>
        <w:tc>
          <w:tcPr>
            <w:tcW w:type="dxa" w:w="583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主要施設一覧／管渠延長の基準時点／全体計画人口の出典</w:t>
            </w:r>
          </w:p>
        </w:tc>
      </w:tr>
    </w:tbl>
    <w:p>
      <w:pPr>
        <w:pBdr>
          <w:bottom w:val="single" w:color="0E5E62" w:sz="12" w:space="4"/>
        </w:pBdr>
        <w:spacing w:after="160" w:before="360"/>
      </w:pPr>
      <w:r>
        <w:rPr>
          <w:rFonts w:ascii="Yu Gothic" w:eastAsia="Yu Gothic" w:hAnsi="Yu Gothic"/>
          <w:b/>
          <w:bCs/>
          <w:color w:val="0E5E62"/>
          <w:sz w:val="26"/>
          <w:szCs w:val="26"/>
        </w:rPr>
        <w:t xml:space="preserve">６　</w:t>
      </w:r>
      <w:r>
        <w:rPr>
          <w:rFonts w:ascii="Yu Gothic" w:eastAsia="Yu Gothic" w:hAnsi="Yu Gothic"/>
          <w:b/>
          <w:bCs/>
          <w:color w:val="1A2422"/>
          <w:sz w:val="26"/>
          <w:szCs w:val="26"/>
        </w:rPr>
        <w:t xml:space="preserve">村への確認事項</w:t>
      </w:r>
    </w:p>
    <w:p>
      <w:pPr>
        <w:spacing w:after="120" w:before="0" w:line="300"/>
      </w:pPr>
      <w:r>
        <w:rPr>
          <w:rFonts w:ascii="Yu Gothic" w:eastAsia="Yu Gothic" w:hAnsi="Yu Gothic"/>
          <w:color w:val="1A2422"/>
          <w:sz w:val="21"/>
          <w:szCs w:val="21"/>
        </w:rPr>
        <w:t xml:space="preserve">着手前に回答を要する項目。いずれもp.19・p.20に関係する。</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560"/>
        <w:gridCol w:w="2400"/>
        <w:gridCol w:w="6678"/>
      </w:tblGrid>
      <w:tr>
        <w:trPr>
          <w:tblHeader/>
        </w:trPr>
        <w:tc>
          <w:tcPr>
            <w:tcW w:type="dxa" w:w="56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
            </w:r>
          </w:p>
        </w:tc>
        <w:tc>
          <w:tcPr>
            <w:tcW w:type="dxa" w:w="24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項目</w:t>
            </w:r>
          </w:p>
        </w:tc>
        <w:tc>
          <w:tcPr>
            <w:tcW w:type="dxa" w:w="667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内容</w:t>
            </w:r>
          </w:p>
        </w:tc>
      </w:tr>
      <w:tr>
        <w:tc>
          <w:tcPr>
            <w:tcW w:type="dxa" w:w="56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1</w:t>
            </w:r>
          </w:p>
        </w:tc>
        <w:tc>
          <w:tcPr>
            <w:tcW w:type="dxa" w:w="24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中札内浄化センターの主要施設一覧</w:t>
            </w:r>
          </w:p>
        </w:tc>
        <w:tc>
          <w:tcPr>
            <w:tcW w:type="dxa" w:w="667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敷地面積・放流水質・設備構成（ポンプ台数・池数・脱水機等）。現行p.20の表は三戸浄化センターの諸元であり、提供資料にも公表版にも代替となるデータがない。施設台帳または竣工図書からの提供を依頼したい。</w:t>
            </w:r>
          </w:p>
        </w:tc>
      </w:tr>
      <w:tr>
        <w:tc>
          <w:tcPr>
            <w:tcW w:type="dxa" w:w="56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2</w:t>
            </w:r>
          </w:p>
        </w:tc>
        <w:tc>
          <w:tcPr>
            <w:tcW w:type="dxa" w:w="24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管渠延長25,270.66mの基準時点</w:t>
            </w:r>
          </w:p>
        </w:tc>
        <w:tc>
          <w:tcPr>
            <w:tcW w:type="dxa" w:w="667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提供資料の経過年数は令和7年度基準であるのに対し、本文は「令和5年度末時点」としており、時点を揃える必要がある。あわせて事業計画上の総延長27,560mとの差（約2,290m）の内訳を確認したい。</w:t>
            </w:r>
          </w:p>
        </w:tc>
      </w:tr>
      <w:tr>
        <w:tc>
          <w:tcPr>
            <w:tcW w:type="dxa" w:w="56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3</w:t>
            </w:r>
          </w:p>
        </w:tc>
        <w:tc>
          <w:tcPr>
            <w:tcW w:type="dxa" w:w="24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全体計画人口2,810人の出典</w:t>
            </w:r>
          </w:p>
        </w:tc>
        <w:tc>
          <w:tcPr>
            <w:tcW w:type="dxa" w:w="667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本文p.2の記載。提供資料の計画区域内人口2,661人（事業計画・令和7年度目標）との関係を確認したい。</w:t>
            </w:r>
          </w:p>
        </w:tc>
      </w:tr>
    </w:tbl>
    <w:p>
      <w:pPr>
        <w:spacing w:after="160" w:before="60"/>
        <w:ind w:left="170"/>
      </w:pPr>
      <w:r>
        <w:rPr>
          <w:rFonts w:ascii="Yu Gothic" w:eastAsia="Yu Gothic" w:hAnsi="Yu Gothic"/>
          <w:color w:val="5E6B67"/>
          <w:sz w:val="18"/>
          <w:szCs w:val="18"/>
        </w:rPr>
        <w:t xml:space="preserve">※　供用開始年月・工場排水の取扱い・水洗化率については、公表版および経営比較分析表により確定したため照会は不要となった。</w:t>
      </w:r>
    </w:p>
    <w:p>
      <w:pPr>
        <w:pBdr>
          <w:bottom w:val="single" w:color="0E5E62" w:sz="12" w:space="4"/>
        </w:pBdr>
        <w:spacing w:after="160" w:before="360"/>
      </w:pPr>
      <w:r>
        <w:rPr>
          <w:rFonts w:ascii="Yu Gothic" w:eastAsia="Yu Gothic" w:hAnsi="Yu Gothic"/>
          <w:b/>
          <w:bCs/>
          <w:color w:val="0E5E62"/>
          <w:sz w:val="26"/>
          <w:szCs w:val="26"/>
        </w:rPr>
        <w:t xml:space="preserve">７　</w:t>
      </w:r>
      <w:r>
        <w:rPr>
          <w:rFonts w:ascii="Yu Gothic" w:eastAsia="Yu Gothic" w:hAnsi="Yu Gothic"/>
          <w:b/>
          <w:bCs/>
          <w:color w:val="1A2422"/>
          <w:sz w:val="26"/>
          <w:szCs w:val="26"/>
        </w:rPr>
        <w:t xml:space="preserve">今後の作業手順と留意事項</w:t>
      </w:r>
    </w:p>
    <w:p>
      <w:pPr>
        <w:spacing w:after="120" w:before="0" w:line="300"/>
      </w:pPr>
      <w:r>
        <w:rPr>
          <w:rFonts w:ascii="Yu Gothic" w:eastAsia="Yu Gothic" w:hAnsi="Yu Gothic"/>
          <w:color w:val="1A2422"/>
          <w:sz w:val="21"/>
          <w:szCs w:val="21"/>
        </w:rPr>
        <w:t xml:space="preserve">本文の図表はすべてExcelから貼り付けた画像（EMF 27点）であり、リンクされた表ではない。したがってExcelを修正するたびにWordへの貼り直しが発生するため、Excelを確定させてからWordに貼るのが手戻りのない唯一の順序となる。</w:t>
      </w:r>
    </w:p>
    <w:tbl>
      <w:tblPr>
        <w:tblW w:type="dxa" w:w="9638"/>
        <w:tblBorders>
          <w:top w:val="single" w:color="C8D2CE" w:sz="6"/>
          <w:left w:val="single" w:color="C8D2CE" w:sz="6"/>
          <w:bottom w:val="single" w:color="C8D2CE" w:sz="6"/>
          <w:right w:val="single" w:color="C8D2CE" w:sz="6"/>
          <w:insideH w:val="single" w:color="C8D2CE" w:sz="6"/>
          <w:insideV w:val="single" w:color="C8D2CE" w:sz="6"/>
        </w:tblBorders>
      </w:tblPr>
      <w:tblGrid>
        <w:gridCol w:w="700"/>
        <w:gridCol w:w="8938"/>
      </w:tblGrid>
      <w:tr>
        <w:trPr>
          <w:tblHeader/>
        </w:trPr>
        <w:tc>
          <w:tcPr>
            <w:tcW w:type="dxa" w:w="700"/>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順</w:t>
            </w:r>
          </w:p>
        </w:tc>
        <w:tc>
          <w:tcPr>
            <w:tcW w:type="dxa" w:w="8938"/>
            <w:shd w:fill="E6EDEB" w:color="auto" w:val="clear"/>
            <w:tcMar>
              <w:top w:type="dxa" w:w="60"/>
              <w:left w:type="dxa" w:w="100"/>
              <w:bottom w:type="dxa" w:w="60"/>
              <w:right w:type="dxa" w:w="100"/>
            </w:tcMar>
            <w:vAlign w:val="center"/>
          </w:tcPr>
          <w:p>
            <w:pPr>
              <w:spacing w:after="0" w:before="0" w:line="260"/>
            </w:pPr>
            <w:r>
              <w:rPr>
                <w:rFonts w:ascii="Yu Gothic" w:eastAsia="Yu Gothic" w:hAnsi="Yu Gothic"/>
                <w:b/>
                <w:bCs/>
                <w:color w:val="1A2422"/>
                <w:sz w:val="17"/>
                <w:szCs w:val="17"/>
              </w:rPr>
              <w:t xml:space="preserve">作業</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1</w:t>
            </w:r>
          </w:p>
        </w:tc>
        <w:tc>
          <w:tcPr>
            <w:tcW w:type="dxa" w:w="89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修正版シミュレーション（xlsx）をExcelで開き、全再計算を実行する。令和7年度の建設改良費が＋65,676千円となるため、減価償却費・支払利息・企業債残高が令和7年度以降で動く。経常収支比率・経費回収率・各パターンの判定を確認する。</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2</w:t>
            </w:r>
          </w:p>
        </w:tc>
        <w:tc>
          <w:tcPr>
            <w:tcW w:type="dxa" w:w="893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論点B・C・D・Gの方針を決定する。特に論点C（使用料改定の時期と率）は公表版の前提を大幅に見直すことになるため、村との協議が必要。</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3</w:t>
            </w:r>
          </w:p>
        </w:tc>
        <w:tc>
          <w:tcPr>
            <w:tcW w:type="dxa" w:w="89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村への照会3件の回答を受領し、p.20の処理場概要および主要施設一覧を確定する。</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4</w:t>
            </w:r>
          </w:p>
        </w:tc>
        <w:tc>
          <w:tcPr>
            <w:tcW w:type="dxa" w:w="893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区域.pdfをp.3に貼り込み、管渠延長.pdfからグラフを再作成のうえp.19の本文（延長・耐用年数・普及率）を書き換える。</w:t>
            </w:r>
          </w:p>
        </w:tc>
      </w:tr>
      <w:tr>
        <w:tc>
          <w:tcPr>
            <w:tcW w:type="dxa" w:w="700"/>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5</w:t>
            </w:r>
          </w:p>
        </w:tc>
        <w:tc>
          <w:tcPr>
            <w:tcW w:type="dxa" w:w="8938"/>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再計算後のExcelから、p.25（投資スケジュール）・p.26（投資財源）・p.32（シミュレーション検証）の各表を貼り直す。</w:t>
            </w:r>
          </w:p>
        </w:tc>
      </w:tr>
      <w:tr>
        <w:tc>
          <w:tcPr>
            <w:tcW w:type="dxa" w:w="700"/>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6</w:t>
            </w:r>
          </w:p>
        </w:tc>
        <w:tc>
          <w:tcPr>
            <w:tcW w:type="dxa" w:w="8938"/>
            <w:shd w:fill="F5F8F7" w:color="auto" w:val="clear"/>
            <w:tcMar>
              <w:top w:type="dxa" w:w="60"/>
              <w:left w:type="dxa" w:w="100"/>
              <w:bottom w:type="dxa" w:w="60"/>
              <w:right w:type="dxa" w:w="100"/>
            </w:tcMar>
            <w:vAlign w:val="center"/>
          </w:tcPr>
          <w:p>
            <w:pPr>
              <w:spacing w:after="0" w:before="0" w:line="260"/>
            </w:pPr>
            <w:r>
              <w:rPr>
                <w:rFonts w:ascii="Yu Gothic" w:eastAsia="Yu Gothic" w:hAnsi="Yu Gothic"/>
                <w:color w:val="1A2422"/>
                <w:sz w:val="17"/>
                <w:szCs w:val="17"/>
              </w:rPr>
              <w:t xml:space="preserve">目次の頁番号を更新し（「本文完成後調整」）、本文中のコメント3件を解決する。</w:t>
            </w:r>
          </w:p>
        </w:tc>
      </w:tr>
    </w:tbl>
    <w:p>
      <w:pPr>
        <w:spacing w:after="0" w:before="300"/>
      </w:pPr>
    </w:p>
    <w:p>
      <w:pPr>
        <w:pBdr>
          <w:top w:val="single" w:color="C8D2CE" w:sz="6" w:space="6"/>
        </w:pBdr>
        <w:spacing w:after="0" w:before="200"/>
      </w:pPr>
      <w:r>
        <w:rPr>
          <w:rFonts w:ascii="Yu Gothic" w:eastAsia="Yu Gothic" w:hAnsi="Yu Gothic"/>
          <w:color w:val="5E6B67"/>
          <w:sz w:val="17"/>
          <w:szCs w:val="17"/>
        </w:rPr>
        <w:t xml:space="preserve">修正版の本文（docx）およびシミュレーション（xlsx）、修正スクリプト、変更履歴は別途納品済み。</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Yu Gothic" w:eastAsia="Yu Gothic" w:hAnsi="Yu Gothic"/>
        <w:color w:val="5E6B67"/>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Yu Gothic" w:eastAsia="Yu Gothic" w:hAnsi="Yu Gothic"/>
        <w:color w:val="5E6B67"/>
        <w:sz w:val="16"/>
        <w:szCs w:val="16"/>
      </w:rPr>
      <w:t xml:space="preserve">中札内村下水道事業経営戦略（案）　修正箇所一覧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color w:val="1A2422"/>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2026-09-04T07:39:53.319Z</dcterms:created>
  <dcterms:modified xsi:type="dcterms:W3CDTF">2026-09-04T07:39:53.319Z</dcterms:modified>
</cp:coreProperties>
</file>

<file path=docProps/custom.xml><?xml version="1.0" encoding="utf-8"?>
<Properties xmlns="http://schemas.openxmlformats.org/officeDocument/2006/custom-properties" xmlns:vt="http://schemas.openxmlformats.org/officeDocument/2006/docPropsVTypes"/>
</file>