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参加率は12.2%です。このうち週1回以上開催しているのは8か所・123人で、参加率は5.3%にとどまります。</w:t>
      </w:r>
    </w:p>
    <w:p>
      <w:pPr>
        <w:spacing w:after="120" w:line="300"/>
      </w:pPr>
      <w:r>
        <w:rPr>
          <w:rFonts w:ascii="游明朝" w:cs="游明朝" w:eastAsia="游明朝" w:hAnsi="游明朝"/>
          <w:sz w:val="21"/>
          <w:szCs w:val="21"/>
        </w:rPr>
        <w:t xml:space="preserve">第9期のアンケート調査における参加率11.2%（509人中57人）とほぼ同じ水準であり、地区による差が大きいことも確認されています。とりわけ大塩地区は参加率・参加意向がいずれも最も低い状況です。</w:t>
      </w:r>
    </w:p>
    <w:p>
      <w:pPr>
        <w:spacing w:after="120" w:line="300"/>
      </w:pPr>
      <w:r>
        <w:rPr>
          <w:rFonts w:ascii="游明朝" w:cs="游明朝" w:eastAsia="游明朝" w:hAnsi="游明朝"/>
          <w:sz w:val="21"/>
          <w:szCs w:val="21"/>
        </w:rPr>
        <w:t xml:space="preserve">介護予防の効果は開催の頻度に左右されます。週1回以上の開催が8か所にとどまることは、箇所数を増やすことと同時に、既存の通いの場の開催頻度を高めることが課題であることを示しています。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残された課題は2点です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1123"/>
        <w:gridCol w:w="4399"/>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9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 目標Ⅱ（認知症総合支援）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全国平均を下回る唯一の目標。3か年で唯一、得点が低下した局面がある</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令和6年度65点、令和7年度70点から令和8年度は45点へ25点低下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す。得点の低下は、要介護度の維持・改善の実績そのものが後退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参加率は12.2%です。このうち週1回以上開催しているのは8か所・123人で、参加率は5.3%にとどまります。第9期の調査における参加率11.2%とほぼ同じ水準であり、地区による差が大きく、大塩地区が最も低い状況です。介護予防の効果は開催の頻度に左右されるため、箇所数を増やすことと同時に、既存の通いの場の開催頻度を高めること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3項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介護保険事業の見込みと保険料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00" w:line="300"/>
      </w:pPr>
      <w:r>
        <w:rPr>
          <w:rFonts w:ascii="游ゴシック" w:cs="游ゴシック" w:eastAsia="游ゴシック" w:hAnsi="游ゴシック"/>
          <w:b/>
          <w:bCs/>
          <w:color w:val="2E75B6"/>
          <w:sz w:val="21"/>
          <w:szCs w:val="21"/>
        </w:rPr>
        <w:t xml:space="preserve">(4)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るため、村の給付実績の提供を受けて分離します。要支援1・2の在宅サービス受給者は令和7年度で48.3人／月であり、在宅サービス受給者全体の43%を占めます。本村は要支援1の認定者が6年間で3倍に増えているため、予防給付の見込量の設定がとくに重要になります。</w:t>
      </w:r>
    </w:p>
    <w:p>
      <w:pPr>
        <w:spacing w:after="100" w:line="300"/>
      </w:pPr>
      <w:r>
        <w:rPr>
          <w:rFonts w:ascii="游ゴシック" w:cs="游ゴシック" w:eastAsia="游ゴシック" w:hAnsi="游ゴシック"/>
          <w:b/>
          <w:bCs/>
          <w:color w:val="2E75B6"/>
          <w:sz w:val="21"/>
          <w:szCs w:val="21"/>
        </w:rPr>
        <w:t xml:space="preserve">(5)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居宅介護支援と介護予防支援は、「見える化」システムでは合算した給付費のみが把握できます。人数は村の給付実績の提供を受けて記入します。在宅サービス受給者数（112.6人／月）に近い水準になる見込みで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地域支援事業費の見込み</w:t>
      </w:r>
    </w:p>
    <w:p>
      <w:pPr>
        <w:spacing w:after="120" w:line="300"/>
      </w:pPr>
      <w:r>
        <w:rPr>
          <w:rFonts w:ascii="游明朝" w:cs="游明朝" w:eastAsia="游明朝" w:hAnsi="游明朝"/>
          <w:sz w:val="21"/>
          <w:szCs w:val="21"/>
        </w:rPr>
        <w:t xml:space="preserve">地域支援事業費を、次の区分により見込みます。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あり、介護給付費と予防給付費への分離は村の給付実績の提供後に行い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ad8f680faac79d28b29185476fc022851e507d95.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2026-09-08T01:07:20.345Z</dcterms:created>
  <dcterms:modified xsi:type="dcterms:W3CDTF">2026-09-08T01:07:20.345Z</dcterms:modified>
</cp:coreProperties>
</file>

<file path=docProps/custom.xml><?xml version="1.0" encoding="utf-8"?>
<Properties xmlns="http://schemas.openxmlformats.org/officeDocument/2006/custom-properties" xmlns:vt="http://schemas.openxmlformats.org/officeDocument/2006/docPropsVTypes"/>
</file>