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地域の課題（第5節）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ご決定をお願いする事項　25件（第6節）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認知症施策推進計画の扱い（第7節）</w:t>
            </w:r>
          </w:p>
        </w:tc>
      </w:tr>
      <w:tr>
        <w:trPr>
          <w:cantSplit/>
        </w:trPr>
        <w:tc>
          <w:tcPr>
            <w:tcW w:type="dxa" w:w="1474"/>
            <w:vAlign w:val="center"/>
          </w:tcPr>
          <w:p>
            <w:pPr>
              <w:spacing w:after="0"/>
              <w:jc w:val="center"/>
            </w:pPr>
            <w:r>
              <w:rPr>
                <w:rFonts w:ascii="游ゴシック" w:hAnsi="游ゴシック" w:eastAsia="游ゴシック"/>
                <w:b/>
                <w:sz w:val="18"/>
              </w:rPr>
              <w:t>6</w:t>
            </w:r>
          </w:p>
        </w:tc>
        <w:tc>
          <w:tcPr>
            <w:tcW w:type="dxa" w:w="8277"/>
            <w:vAlign w:val="center"/>
          </w:tcPr>
          <w:p>
            <w:pPr>
              <w:spacing w:after="0"/>
            </w:pPr>
            <w:r>
              <w:rPr>
                <w:rFonts w:ascii="游ゴシック" w:hAnsi="游ゴシック" w:eastAsia="游ゴシック"/>
                <w:b w:val="0"/>
                <w:sz w:val="18"/>
              </w:rPr>
              <w:t>資料のご提供のお願いと今後の進め方（第9節・第10節）</w:t>
            </w:r>
          </w:p>
        </w:tc>
      </w:tr>
    </w:tbl>
    <w:p>
      <w:pPr>
        <w:ind w:left="227"/>
      </w:pPr>
      <w:r>
        <w:rPr>
          <w:rFonts w:ascii="游ゴシック" w:hAnsi="游ゴシック" w:eastAsia="游ゴシック"/>
          <w:b w:val="0"/>
          <w:sz w:val="18"/>
        </w:rPr>
        <w:t>※ 町ごとの個別協議（令和8年10月中旬から下旬）でお伺いする事項は第8節に掲げています。本意見交換会では扱いません。</w:t>
      </w:r>
    </w:p>
    <w:p>
      <w:pPr>
        <w:keepNext/>
        <w:pageBreakBefore/>
        <w:spacing w:before="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表2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表3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173件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160件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36件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25件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広域連合として決めていただく事項です（第6節）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東川町4件／美瑛町5件／東神楽町2件（第8節）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表4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keepNext/>
        <w:spacing w:before="160" w:after="40"/>
      </w:pPr>
      <w:r>
        <w:rPr>
          <w:rFonts w:ascii="游ゴシック" w:hAnsi="游ゴシック" w:eastAsia="游ゴシック"/>
          <w:b/>
          <w:sz w:val="20"/>
        </w:rPr>
        <w:t>表5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b w:val="0"/>
          <w:sz w:val="18"/>
        </w:rPr>
        <w:t>※ いずれも令和8年10月1日に確定し、第3節の算定に反映しています。</w:t>
      </w:r>
    </w:p>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表6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表7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表8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表9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pageBreakBefore/>
        <w:spacing w:before="0" w:after="120"/>
      </w:pPr>
      <w:r>
        <w:rPr>
          <w:rFonts w:ascii="游ゴシック" w:hAnsi="游ゴシック" w:eastAsia="游ゴシック"/>
          <w:b/>
          <w:color w:val="1F3864"/>
          <w:sz w:val="26"/>
        </w:rPr>
        <w:t>第5節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表10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第6節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keepNext/>
        <w:spacing w:before="180" w:after="60"/>
      </w:pPr>
      <w:r>
        <w:rPr>
          <w:rFonts w:ascii="游ゴシック" w:hAnsi="游ゴシック" w:eastAsia="游ゴシック"/>
          <w:b/>
          <w:sz w:val="22"/>
        </w:rPr>
        <w:t>1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表11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2　計画の記載に関わるもの（21件）</w:t>
      </w:r>
    </w:p>
    <w:p>
      <w:pPr>
        <w:keepNext/>
        <w:spacing w:before="160" w:after="40"/>
      </w:pPr>
      <w:r>
        <w:rPr>
          <w:rFonts w:ascii="游ゴシック" w:hAnsi="游ゴシック" w:eastAsia="游ゴシック"/>
          <w:b/>
          <w:sz w:val="20"/>
        </w:rPr>
        <w:t>表12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3　受託者が仮置きにより進めた事項（38件）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表13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bl>
    <w:p>
      <w:pPr>
        <w:spacing w:after="80"/>
      </w:pPr>
      <w:r>
        <w:rPr>
          <w:rFonts w:ascii="游ゴシック" w:hAnsi="游ゴシック" w:eastAsia="游ゴシック"/>
          <w:b w:val="0"/>
          <w:sz w:val="17"/>
        </w:rPr>
        <w:t>資料：業務工程管理表 03_確認事項一覧、計画素案</w:t>
      </w:r>
    </w:p>
    <w:p>
      <w:pPr>
        <w:keepNext/>
        <w:pageBreakBefore/>
        <w:spacing w:before="0" w:after="120"/>
      </w:pPr>
      <w:r>
        <w:rPr>
          <w:rFonts w:ascii="游ゴシック" w:hAnsi="游ゴシック" w:eastAsia="游ゴシック"/>
          <w:b/>
          <w:color w:val="1F3864"/>
          <w:sz w:val="26"/>
        </w:rPr>
        <w:t>第7節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表14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表15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第8節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表16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spacing w:before="0" w:after="120"/>
      </w:pPr>
      <w:r>
        <w:rPr>
          <w:rFonts w:ascii="游ゴシック" w:hAnsi="游ゴシック" w:eastAsia="游ゴシック"/>
          <w:b/>
          <w:color w:val="1F3864"/>
          <w:sz w:val="26"/>
        </w:rPr>
        <w:t>第9節　資料のご提供をお願いしたいもの</w:t>
      </w:r>
    </w:p>
    <w:p>
      <w:pPr>
        <w:spacing w:after="80"/>
      </w:pPr>
      <w:r>
        <w:rPr>
          <w:rFonts w:ascii="游ゴシック" w:hAnsi="游ゴシック" w:eastAsia="游ゴシック"/>
          <w:b w:val="0"/>
          <w:sz w:val="20"/>
        </w:rPr>
        <w:t>資料の提供依頼23件のうち、まだ受領していないものが21件あります。うち優先度の高いものが14件です。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表19　優先度の高い資料　14件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21</w:t>
            </w:r>
          </w:p>
        </w:tc>
        <w:tc>
          <w:tcPr>
            <w:tcW w:type="dxa" w:w="3628"/>
            <w:vAlign w:val="center"/>
          </w:tcPr>
          <w:p>
            <w:pPr>
              <w:spacing w:after="0"/>
            </w:pPr>
            <w:r>
              <w:rPr>
                <w:rFonts w:ascii="游ゴシック" w:hAnsi="游ゴシック" w:eastAsia="游ゴシック"/>
                <w:b w:val="0"/>
                <w:sz w:val="16"/>
              </w:rPr>
              <w:t>介護保険事業状況報告　年報（令和6年度・令和7年度）</w:t>
            </w:r>
          </w:p>
        </w:tc>
        <w:tc>
          <w:tcPr>
            <w:tcW w:type="dxa" w:w="2835"/>
            <w:vAlign w:val="center"/>
          </w:tcPr>
          <w:p>
            <w:pPr>
              <w:spacing w:after="0"/>
            </w:pPr>
            <w:r>
              <w:rPr>
                <w:rFonts w:ascii="游ゴシック" w:hAnsi="游ゴシック" w:eastAsia="游ゴシック"/>
                <w:b w:val="0"/>
                <w:sz w:val="16"/>
              </w:rPr>
              <w:t>第3段階の給付費の算定、H15の基準値</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22</w:t>
            </w:r>
          </w:p>
        </w:tc>
        <w:tc>
          <w:tcPr>
            <w:tcW w:type="dxa" w:w="3628"/>
            <w:shd w:val="clear" w:color="auto" w:fill="F2F5FA"/>
            <w:vAlign w:val="center"/>
          </w:tcPr>
          <w:p>
            <w:pPr>
              <w:spacing w:after="0"/>
            </w:pPr>
            <w:r>
              <w:rPr>
                <w:rFonts w:ascii="游ゴシック" w:hAnsi="游ゴシック" w:eastAsia="游ゴシック"/>
                <w:b w:val="0"/>
                <w:sz w:val="16"/>
              </w:rPr>
              <w:t>介護保険事業状況報告　月報（令和8年4月〜7月分）</w:t>
            </w:r>
          </w:p>
        </w:tc>
        <w:tc>
          <w:tcPr>
            <w:tcW w:type="dxa" w:w="2835"/>
            <w:shd w:val="clear" w:color="auto" w:fill="F2F5FA"/>
            <w:vAlign w:val="center"/>
          </w:tcPr>
          <w:p>
            <w:pPr>
              <w:spacing w:after="0"/>
            </w:pPr>
            <w:r>
              <w:rPr>
                <w:rFonts w:ascii="游ゴシック" w:hAnsi="游ゴシック" w:eastAsia="游ゴシック"/>
                <w:b w:val="0"/>
                <w:sz w:val="16"/>
              </w:rPr>
              <w:t>令和8年度の推定、第9期の中間評価の更新</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spacing w:before="0" w:after="120"/>
      </w:pPr>
      <w:r>
        <w:rPr>
          <w:rFonts w:ascii="游ゴシック" w:hAnsi="游ゴシック" w:eastAsia="游ゴシック"/>
          <w:b/>
          <w:color w:val="1F3864"/>
          <w:sz w:val="26"/>
        </w:rPr>
        <w:t>第10節　10月以降の進め方</w:t>
      </w:r>
    </w:p>
    <w:p>
      <w:pPr>
        <w:keepNext/>
        <w:spacing w:before="160" w:after="40"/>
      </w:pPr>
      <w:r>
        <w:rPr>
          <w:rFonts w:ascii="游ゴシック" w:hAnsi="游ゴシック" w:eastAsia="游ゴシック"/>
          <w:b/>
          <w:sz w:val="20"/>
        </w:rPr>
        <w:t>表20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共通25件のご決定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第2次概算（令和8年10月30日）は、ご決定がない場合も第6節の仮置きにより組みます。その場合は、仮置きによったことを第2次概算の資料に明示します。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