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116件（条件付き54件・送付34件・内部保管23件・対象外5件）と計画素案（928段落145表36図）です。ビルドスクリプトは115本あり、うち27本が自らの計算を検算する自己点検を備えています（計368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自己点検を備えたスクリプト（27本・計368件）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build_shotoku_dankai.py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build_survey_check.py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build_survey_report.py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build_app_review.py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build_receipt_kyufu_sogo.py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build_kagai_youin.py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build_mikomiryo.py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b w:val="0"/>
                <w:sz w:val="16"/>
              </w:rPr>
              <w:t>build_survey_jisseki_cross.py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build_member_work_review.py</w:t>
            </w:r>
          </w:p>
        </w:tc>
        <w:tc>
          <w:tcPr>
            <w:tcW w:type="dxa" w:w="907"/>
            <w:shd w:val="clear" w:color="auto" w:fill="F2F5FA"/>
            <w:vAlign w:val="center"/>
          </w:tcPr>
          <w:p>
            <w:pPr>
              <w:spacing w:after="0"/>
              <w:jc w:val="center"/>
            </w:pPr>
            <w:r>
              <w:rPr>
                <w:rFonts w:ascii="游ゴシック" w:hAnsi="游ゴシック" w:eastAsia="游ゴシック"/>
                <w:b w:val="0"/>
                <w:sz w:val="16"/>
              </w:rPr>
              <w:t>14件</w:t>
            </w:r>
          </w:p>
        </w:tc>
        <w:tc>
          <w:tcPr>
            <w:tcW w:type="dxa" w:w="3572"/>
            <w:shd w:val="clear" w:color="auto" w:fill="F2F5FA"/>
            <w:vAlign w:val="center"/>
          </w:tcPr>
          <w:p>
            <w:pPr>
              <w:spacing w:after="0"/>
            </w:pPr>
            <w:r>
              <w:rPr>
                <w:rFonts w:ascii="游ゴシック" w:hAnsi="游ゴシック" w:eastAsia="游ゴシック"/>
                <w:b w:val="0"/>
                <w:sz w:val="16"/>
              </w:rPr>
              <w:t>build_survey_report_doc.py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build_chiiki_care_kaigi.py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build_taikeikakuhi.py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build_mikomiryo_togo.py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build_check_irai.py</w:t>
            </w:r>
          </w:p>
        </w:tc>
        <w:tc>
          <w:tcPr>
            <w:tcW w:type="dxa" w:w="907"/>
            <w:shd w:val="clear" w:color="auto" w:fill="F2F5FA"/>
            <w:vAlign w:val="center"/>
          </w:tcPr>
          <w:p>
            <w:pPr>
              <w:spacing w:after="0"/>
              <w:jc w:val="center"/>
            </w:pPr>
            <w:r>
              <w:rPr>
                <w:rFonts w:ascii="游ゴシック" w:hAnsi="游ゴシック" w:eastAsia="游ゴシック"/>
                <w:b w:val="0"/>
                <w:sz w:val="16"/>
              </w:rPr>
              <w:t>9件</w:t>
            </w:r>
          </w:p>
        </w:tc>
      </w:tr>
      <w:tr>
        <w:trPr>
          <w:cantSplit/>
        </w:trPr>
        <w:tc>
          <w:tcPr>
            <w:tcW w:type="dxa" w:w="3572"/>
            <w:vAlign w:val="center"/>
          </w:tcPr>
          <w:p>
            <w:pPr>
              <w:spacing w:after="0"/>
            </w:pPr>
            <w:r>
              <w:rPr>
                <w:rFonts w:ascii="游ゴシック" w:hAnsi="游ゴシック" w:eastAsia="游ゴシック"/>
                <w:b w:val="0"/>
                <w:sz w:val="16"/>
              </w:rPr>
              <w:t>build_ninchisho_ronten.py</w:t>
            </w:r>
          </w:p>
        </w:tc>
        <w:tc>
          <w:tcPr>
            <w:tcW w:type="dxa" w:w="907"/>
            <w:vAlign w:val="center"/>
          </w:tcPr>
          <w:p>
            <w:pPr>
              <w:spacing w:after="0"/>
              <w:jc w:val="center"/>
            </w:pPr>
            <w:r>
              <w:rPr>
                <w:rFonts w:ascii="游ゴシック" w:hAnsi="游ゴシック" w:eastAsia="游ゴシック"/>
                <w:b w:val="0"/>
                <w:sz w:val="16"/>
              </w:rPr>
              <w:t>13件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build_soan_kadai.py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build_kanri_tanaoroshi.py</w:t>
            </w:r>
          </w:p>
        </w:tc>
        <w:tc>
          <w:tcPr>
            <w:tcW w:type="dxa" w:w="907"/>
            <w:vAlign w:val="center"/>
          </w:tcPr>
          <w:p>
            <w:pPr>
              <w:spacing w:after="0"/>
              <w:jc w:val="center"/>
            </w:pPr>
            <w:r>
              <w:rPr>
                <w:rFonts w:ascii="游ゴシック" w:hAnsi="游ゴシック" w:eastAsia="游ゴシック"/>
                <w:b w:val="0"/>
                <w:sz w:val="16"/>
              </w:rPr>
              <w:t>12件</w:t>
            </w:r>
          </w:p>
        </w:tc>
        <w:tc>
          <w:tcPr>
            <w:tcW w:type="dxa" w:w="3572"/>
            <w:vAlign w:val="center"/>
          </w:tcPr>
          <w:p>
            <w:pPr>
              <w:spacing w:after="0"/>
            </w:pPr>
            <w:r>
              <w:rPr>
                <w:rFonts w:ascii="游ゴシック" w:hAnsi="游ゴシック" w:eastAsia="游ゴシック"/>
                <w:b w:val="0"/>
                <w:sz w:val="16"/>
              </w:rPr>
              <w:t>build_soan_kaki_review.py</w:t>
            </w:r>
          </w:p>
        </w:tc>
        <w:tc>
          <w:tcPr>
            <w:tcW w:type="dxa" w:w="907"/>
            <w:vAlign w:val="center"/>
          </w:tcPr>
          <w:p>
            <w:pPr>
              <w:spacing w:after="0"/>
              <w:jc w:val="center"/>
            </w:pPr>
            <w:r>
              <w:rPr>
                <w:rFonts w:ascii="游ゴシック" w:hAnsi="游ゴシック" w:eastAsia="游ゴシック"/>
                <w:b w:val="0"/>
                <w:sz w:val="16"/>
              </w:rPr>
              <w:t>7件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build_kisetsu_hosei.py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c>
          <w:tcPr>
            <w:tcW w:type="dxa" w:w="3572"/>
            <w:shd w:val="clear" w:color="auto" w:fill="F2F5FA"/>
            <w:vAlign w:val="center"/>
          </w:tcPr>
          <w:p>
            <w:pPr>
              <w:spacing w:after="0"/>
            </w:pPr>
            <w:r>
              <w:rPr>
                <w:rFonts w:ascii="游ゴシック" w:hAnsi="游ゴシック" w:eastAsia="游ゴシック"/>
                <w:sz w:val="16"/>
              </w:rPr>
            </w:r>
          </w:p>
        </w:tc>
        <w:tc>
          <w:tcPr>
            <w:tcW w:type="dxa" w:w="907"/>
            <w:shd w:val="clear" w:color="auto" w:fill="F2F5FA"/>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928段落145表36図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発注者・委員会・住民の目に触れるもの。未確定箇所が138箇所（要協議110・要確認27・要内訳1）残っている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保険料の基礎になる。算定上の月額6,436円・保険料基準額6,400円はここから出ている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確認事項158件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'6,436\|6436\|9,031,900,444'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現在138箇所（要協議110・要確認27・要内訳1）です。うち第6章第4節（施設の見込み）に58箇所（43％）が集中しており、日常生活圏域と必要利用定員総数（確認事項No.88）が決まれば解消します。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自己点検を備えた27本を順に実行し、終了コードが0であることを確かめます。1件でも合わなければ終了コード1で終わり、不適合の内容が表示されます。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再実行できない3本（第2節3）は除いています。自己点検を持たないスクリプトも実行されますが、書き出しに失敗すればやはり0以外で終わります。自己点検を備えた27本は第3節1の表のとおりです。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