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游ゴシック" w:cs="游ゴシック" w:eastAsia="游ゴシック" w:hAnsi="游ゴシック"/>
          <w:sz w:val="21"/>
          <w:szCs w:val="21"/>
        </w:rPr>
        <w:t xml:space="preserve"/>
      </w:r>
    </w:p>
    <w:p>
      <w:pPr>
        <w:spacing w:after="180" w:line="300" w:lineRule="exact"/>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lineRule="exact"/>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lineRule="exact"/>
        <w:jc w:val="center"/>
      </w:pPr>
      <w:r>
        <w:rPr>
          <w:rFonts w:ascii="游ゴシック" w:cs="游ゴシック" w:eastAsia="游ゴシック" w:hAnsi="游ゴシック"/>
          <w:sz w:val="24"/>
          <w:szCs w:val="24"/>
        </w:rPr>
        <w:t xml:space="preserve">計画期間　令和9年度 〜 令和11年度</w:t>
      </w:r>
    </w:p>
    <w:p>
      <w:pPr>
        <w:spacing w:after="2400" w:line="300" w:lineRule="exact"/>
        <w:jc w:val="center"/>
      </w:pPr>
      <w:r>
        <w:rPr>
          <w:rFonts w:ascii="游ゴシック" w:cs="游ゴシック" w:eastAsia="游ゴシック" w:hAnsi="游ゴシック"/>
          <w:b/>
          <w:bCs/>
          <w:sz w:val="44"/>
          <w:szCs w:val="44"/>
        </w:rPr>
        <w:t xml:space="preserve">素　案</w:t>
      </w:r>
    </w:p>
    <w:p>
      <w:pPr>
        <w:spacing w:after="120" w:line="300" w:lineRule="exact"/>
        <w:jc w:val="center"/>
      </w:pPr>
      <w:r>
        <w:rPr>
          <w:rFonts w:ascii="游ゴシック" w:cs="游ゴシック" w:eastAsia="游ゴシック" w:hAnsi="游ゴシック"/>
          <w:sz w:val="24"/>
          <w:szCs w:val="24"/>
        </w:rPr>
        <w:t xml:space="preserve">令和8年8月</w:t>
      </w:r>
    </w:p>
    <w:p>
      <w:pPr>
        <w:spacing w:after="0" w:line="300" w:lineRule="exact"/>
        <w:jc w:val="center"/>
      </w:pPr>
      <w:r>
        <w:rPr>
          <w:rFonts w:ascii="游ゴシック" w:cs="游ゴシック" w:eastAsia="游ゴシック" w:hAnsi="游ゴシック"/>
          <w:b/>
          <w:bCs/>
          <w:sz w:val="28"/>
          <w:szCs w:val="28"/>
        </w:rPr>
        <w:t xml:space="preserve">北 塩 原 村</w:t>
      </w:r>
    </w:p>
    <w:p>
      <w:r>
        <w:br w:type="page"/>
      </w:r>
    </w:p>
    <w:p>
      <w:pPr>
        <w:spacing w:after="240" w:line="300" w:lineRule="exact"/>
      </w:pPr>
      <w:r>
        <w:rPr>
          <w:rFonts w:ascii="游ゴシック" w:cs="游ゴシック" w:eastAsia="游ゴシック" w:hAnsi="游ゴシック"/>
          <w:b/>
          <w:bCs/>
          <w:color w:val="1F3864"/>
          <w:sz w:val="28"/>
          <w:szCs w:val="28"/>
        </w:rPr>
        <w:t xml:space="preserve">本書の見方</w:t>
      </w:r>
    </w:p>
    <w:p>
      <w:pPr>
        <w:spacing w:after="240" w:line="300" w:lineRule="exact"/>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lineRule="exact"/>
      </w:pPr>
      <w:r>
        <w:rPr>
          <w:rFonts w:ascii="游ゴシック" w:cs="游ゴシック" w:eastAsia="游ゴシック" w:hAnsi="游ゴシック"/>
          <w:sz w:val="21"/>
          <w:szCs w:val="21"/>
        </w:rPr>
        <w:t xml:space="preserve"/>
      </w:r>
    </w:p>
    <w:p>
      <w:r>
        <w:br w:type="page"/>
      </w:r>
    </w:p>
    <w:p>
      <w:pPr>
        <w:spacing w:after="360" w:line="300" w:lineRule="exact"/>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計画策定の趣旨</w:t>
      </w:r>
    </w:p>
    <w:p>
      <w:pPr>
        <w:spacing w:after="120" w:line="300" w:lineRule="exact"/>
      </w:pPr>
      <w:r>
        <w:rPr>
          <w:rFonts w:ascii="游ゴシック" w:cs="游ゴシック" w:eastAsia="游ゴシック" w:hAnsi="游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游ゴシック" w:cs="游ゴシック" w:eastAsia="游ゴシック" w:hAnsi="游ゴシック"/>
          <w:sz w:val="21"/>
          <w:szCs w:val="21"/>
        </w:rPr>
        <w:t xml:space="preserve">後期高齢者は令和12年度（2030年度）の602人まで増加が見込まれます（2-2）。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-8の4）。人材の確保と地域の実情に応じたサービス提供体制の整理が、第10期の中心的な論点になります。</w:t>
      </w:r>
    </w:p>
    <w:p>
      <w:pPr>
        <w:spacing w:after="120" w:line="300" w:lineRule="exact"/>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計画の法的根拠</w:t>
      </w:r>
    </w:p>
    <w:p>
      <w:pPr>
        <w:spacing w:after="120" w:line="300" w:lineRule="exact"/>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老人福祉計画と介護保険事業計画は、介護保険法第117条第7項および老人福祉法第20条の8第7項により、一体のものとして作成しなければならないとされています。本計画の期間は令和9年4月1日に始まるため、介護保険法の項番号は社会福祉法等の一部を改正する法律（令和8年法律第51号）による改正後のもので引いています（同条に第5項が新設され、現行の第5項から第7項は第6項から第8項へ繰り下がります）。</w:t>
      </w:r>
    </w:p>
    <w:p>
      <w:pPr>
        <w:spacing w:after="120" w:line="300" w:lineRule="exact"/>
      </w:pPr>
      <w:r>
        <w:rPr>
          <w:rFonts w:ascii="游ゴシック" w:cs="游ゴシック" w:eastAsia="游ゴシック" w:hAnsi="游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-4・5-5・5-8・5-11）。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計画の期間</w:t>
      </w:r>
    </w:p>
    <w:p>
      <w:pPr>
        <w:spacing w:after="120" w:line="300" w:lineRule="exact"/>
      </w:pPr>
      <w:r>
        <w:rPr>
          <w:rFonts w:ascii="游ゴシック" w:cs="游ゴシック" w:eastAsia="游ゴシック" w:hAnsi="游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計画の位置づけ</w:t>
      </w:r>
    </w:p>
    <w:p>
      <w:pPr>
        <w:spacing w:after="120" w:line="300" w:lineRule="exact"/>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游ゴシック" w:cs="游ゴシック" w:eastAsia="游ゴシック" w:hAnsi="游ゴシック"/>
          <w:sz w:val="21"/>
          <w:szCs w:val="21"/>
        </w:rPr>
        <w:t xml:space="preserve">また、介護保険法第117条の規定により、本計画は福島県が定める保健医療計画（医療計画）および村が定める市町村計画（地域における医療及び介護の総合的な確保の促進に関する法律第5条第1項）と整合性の確保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spacing w:after="120" w:line="300" w:lineRule="exact"/>
      </w:pPr>
      <w:r>
        <w:rPr>
          <w:rFonts w:ascii="游ゴシック" w:cs="游ゴシック" w:eastAsia="游ゴシック" w:hAnsi="游ゴシック"/>
          <w:sz w:val="21"/>
          <w:szCs w:val="21"/>
        </w:rPr>
        <w:t xml:space="preserve">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示されています。同通知は、慢性期の医療需要について療養病床数・介護保険施設定員数・在宅医療を提供している医療機関数等を踏まえて地域の資源を確認すること、高齢化に伴う需要増は第9期の利用実績に反映されているため第9期までの傾向を令和11年度まで伸ばすことで計上することを基本とすることを示しています。本計画の見込量は5-4(10)のとおりこの考え方によっています。</w:t>
      </w:r>
    </w:p>
    <w:p>
      <w:pPr>
        <w:spacing w:after="120" w:line="300" w:lineRule="exact"/>
      </w:pPr>
      <w:r>
        <w:rPr>
          <w:rFonts w:ascii="游ゴシック" w:cs="游ゴシック" w:eastAsia="游ゴシック" w:hAnsi="游ゴシック"/>
          <w:sz w:val="21"/>
          <w:szCs w:val="21"/>
        </w:rPr>
        <w:t xml:space="preserve">さらに、介護保険法第117条は、本計画が市町村地域福祉計画その他の法律の規定による計画であって要介護者等の保健・医療・福祉または居住に関する事項を定めるものと調和が保たれたものでなければならないとしています。国の基本指針案は、調和を保つ相手方として市町村地域福祉計画・市町村賃貸住宅供給促進計画・市町村障害福祉計画・市町村健康増進計画・生涯活躍のまち形成事業計画を挙げています。住まいに関する事項を定める計画としては、福島県高齢者居住安定確保計画（令和4年3月・福島県。高齢者の居住の安定確保に関する法律第4条第1項）がこれに当たります。同計画は会津地域について、中山間地域では高齢者が集まって住む住宅が少ないこと、高齢者が除雪できず生活に支障をきたす場合があることを課題に挙げ、冬期間における除雪等の支援および集住の促進を対策としています。本計画は施策2-6（冬期の生活支援（除雪））および施策2-3（住まいの安定的な確保と生活困難者支援）でこれに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高齢者居住安定確保計画の期間は令和4年度から令和8年度までであり、本計画の期間が始まる前に満了します。同計画は福島県住生活基本計画とふくしま高齢者いきいきプラン（県の高齢者福祉計画・介護保険事業支援計画）の施策別計画として定められているため、県が本計画と同じ時期に改定する見込みです。改定の内容を確認して記述を確定します（5-12）。本村が市町村高齢者居住安定確保計画および市町村賃貸住宅供給促進計画を定めているかも村に確認します。</w:t>
      </w:r>
    </w:p>
    <w:p>
      <w:pPr>
        <w:keepNext/>
        <w:keepLines/>
        <w:spacing w:after="100" w:line="300" w:lineRule="exact"/>
      </w:pPr>
      <w:r>
        <w:rPr>
          <w:rFonts w:ascii="游ゴシック" w:cs="游ゴシック" w:eastAsia="游ゴシック" w:hAnsi="游ゴシック"/>
          <w:b/>
          <w:bCs/>
          <w:color w:val="2E75B6"/>
          <w:sz w:val="22"/>
          <w:szCs w:val="22"/>
        </w:rPr>
        <w:t xml:space="preserve">障がい福祉計画との関係</w:t>
      </w:r>
    </w:p>
    <w:p>
      <w:pPr>
        <w:spacing w:after="120" w:line="300" w:lineRule="exact"/>
      </w:pPr>
      <w:r>
        <w:rPr>
          <w:rFonts w:ascii="游ゴシック" w:cs="游ゴシック" w:eastAsia="游ゴシック" w:hAnsi="游ゴシック"/>
          <w:sz w:val="21"/>
          <w:szCs w:val="21"/>
        </w:rPr>
        <w:t xml:space="preserve">本計画と同時期に、第8期障がい福祉計画・第4期障がい児福祉計画が策定されます。両計画は同じ方を対象とする場面があります。障害者総合支援法第7条は、障害福祉サービスに相当する給付を介護保険法その他の法令により受けることができるときは、その限度において障害福祉サービスを行わないと定めています。これを介護保険優先原則といい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游ゴシック" w:cs="游ゴシック" w:eastAsia="游ゴシック" w:hAnsi="游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確かめる単位は障害福祉サービス受給者証の記載内容です。介護保険の適用除外（介護保険法施行法第11条第1項）は、指定障害者支援施設に生活介護および施設入所支援の両方の支給決定を受けて入所していることを要件としており、受給者証にどの支給決定が記載されているかによって介護保険の被保険者となるかどうかまで変わります。具体の手だては施策4-1（地域包括支援センターの機能強化）に、村内の事業所に関わる取組は施策3-1（居宅サービスの確保）に記載しています。両計画の対照は資9に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8期障がい福祉計画・第4期障がい児福祉計画は令和8年10月時点で素案の段階にあります。同計画は第7章に本計画との連携の節を置いており、本計画は本節と資9がこれに対応します。両計画の記載は、障がい福祉担当との協議のうえ揃えます。確定前の素案を引用しているため、同計画の確定後に数値と節番号を確かめ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保健医療計画（第8次福島県医療計画・令和6年度から令和11年度まで）の会津・南会津区域に関する記載を確かめました。本村は二次医療圏「会津・南会津」に属しますが、在宅医療に関する圏域は医療圏とは別に7圏域（県北・県中・県南・会津・南会津・相双・いわき）と設定されており、本村は「会津」圏域に属します。同計画は、在宅療養支援病院・在宅療養支援診療所が所在しない市町村への広域的な支援について、各地域の協議会や部会において議論を行う体制とすることを掲げています。本村は村内に医療系の事業所がなく（2-5）、この「所在しない市町村」に当たります。また、県は福島県在宅医療・介護連携支援センターを設置し、市町村が主体となって行う在宅医療・介護連携の取組を支援するとしています。同計画の数値目標C102は「在宅医療・介護連携推進事業を実施する市町村数」を令和4年の54市町村から令和8年に59市町村（県内の全市町村）とするものです。施策4-3はこれらを前提に組み立て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同計画の第12章第4節「会津・南会津医療圏」によれば、当圏域の令和7年の必要病床数と現在の病床数の差は、高度急性期が148床の不足、急性期が1,018床の超過、回復期が580床の不足、慢性期が22床の超過です。回復期の不足は、退院後に在宅へ戻る流れに影響します。救急搬送困難件数の割合は会津0.1%・南会津0.0%で県内では低い水準にあります。出典：第8次福島県医療計画（令和6年3月）。</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日常生活圏域の設定</w:t>
      </w:r>
    </w:p>
    <w:p>
      <w:pPr>
        <w:spacing w:after="120" w:line="300" w:lineRule="exact"/>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1-6　計画の策定体制と策定経過</w:t>
      </w:r>
    </w:p>
    <w:p>
      <w:pPr>
        <w:spacing w:after="120" w:line="300" w:lineRule="exact"/>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spacing w:after="120" w:line="300" w:lineRule="exact"/>
      </w:pPr>
      <w:r>
        <w:rPr>
          <w:rFonts w:ascii="游ゴシック" w:cs="游ゴシック" w:eastAsia="游ゴシック" w:hAnsi="游ゴシック"/>
          <w:sz w:val="21"/>
          <w:szCs w:val="21"/>
        </w:rPr>
        <w:t xml:space="preserve">あわせて、介護保険法第117条第14項の規定により、サービスの種類ごとの量の見込み・地域支援事業の量の見込み（5-4・5-5）および中長期的な推計（資10）を定めるに当たっては、あらかじめ福島県の意見を聴きます。改正前から量の見込みについて意見聴取が求められており、令和8年法律第51号により中長期的な推計が対象に加わりました（令和9年4月1日施行）。また、計画を定め、または変更したときは、遅滞なく県に提出します。意見聴取の時期と様式は県に確認のうえ、下表の策定の経過に加えます。</w:t>
      </w:r>
    </w:p>
    <w:p>
      <w:pPr>
        <w:spacing w:after="120" w:line="300" w:lineRule="exact"/>
      </w:pPr>
      <w:r>
        <w:rPr>
          <w:rFonts w:ascii="游ゴシック" w:cs="游ゴシック" w:eastAsia="游ゴシック" w:hAnsi="游ゴシック"/>
          <w:sz w:val="21"/>
          <w:szCs w:val="21"/>
        </w:rPr>
        <w:t xml:space="preserve">高齢者福祉計画の部分についても、老人福祉法第20条の8第9項により、確保すべき老人福祉事業の量の目標（4-6）を定め、または変更しようとするときは、あらかじめ福島県の意見を聴かなければならないこととされています。同条第10項により、計画を定め、または変更したときは、遅滞なく県知事に提出しなければなりません。介護保険法第117条第14項による意見聴取とは根拠および対象が異なるため、2つをあわせて1回の手続で行えるかを県に確認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老人福祉法第20条の8第9項の意見聴取は「聴かなければならない」とされた義務であり、介護保険法第117条第14項の意見聴取とは対象が異なります。前者は4-6の量の目標、後者は5-4・5-5の見込量と資10の中長期的な推計です。第9期計画の策定にあたってどのように行われたかを村に確認し、第10期の日程（1-6の策定の経過）に位置づけます（5-12）。</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1-7　SDGsとの関係</w:t>
      </w:r>
    </w:p>
    <w:p>
      <w:pPr>
        <w:spacing w:after="120" w:line="300" w:lineRule="exact"/>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1-8　介護保険制度改正の主な内容</w:t>
      </w:r>
    </w:p>
    <w:p>
      <w:pPr>
        <w:keepNext/>
        <w:keepLines/>
        <w:spacing w:after="100" w:line="300" w:lineRule="exact"/>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lineRule="exact"/>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本村は該当する見込みです（本節4）。施策3-1から3-4および5-4の見込量に関わります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本村はいずれも令和5年度から令和7年度まで利用実績がありません（5-4(2)）。区分を国の様式の確定後に統合します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は5-11に加えます。入居定員の勘案は、村内に有料老人ホーム・サービス付き高齢者向け住宅がないため、県から提供される区域ごとの入居定員総数と村外施設の利用状況の把握により行います（資10、2-5、4-6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lineRule="exact"/>
      </w:pPr>
      <w:r>
        <w:rPr>
          <w:rFonts w:ascii="游ゴシック" w:cs="游ゴシック" w:eastAsia="游ゴシック" w:hAnsi="游ゴシック"/>
          <w:b/>
          <w:bCs/>
          <w:color w:val="2E75B6"/>
          <w:sz w:val="22"/>
          <w:szCs w:val="22"/>
        </w:rPr>
        <w:t xml:space="preserve">2　政令・告示等による主な見直し</w:t>
      </w:r>
    </w:p>
    <w:p>
      <w:pPr>
        <w:spacing w:after="120" w:line="300" w:lineRule="exact"/>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2-4・2-7の実績値の系列に関わります。見直しの前後で系列が接続するかを確認します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施策4-3（在宅医療・介護連携の推進）に反映します。協力医療機関の3つの要件を満たさない施設の把握が求められますが、村内の入所施設は認知症対応型共同生活介護の2施設のみです（2-5）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本村は中山間・人口減少地域に当たる見込みです（本節4）</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の見直しの施行の時期は、社会保障審議会介護保険部会の意見書（令和7年12月25日）が「第10期介護保険事業計画期間（令和9年度〜）からの実施を基本とした上で、区分の細分化を伴わない見直しについては令和8年度から実施することが適当である」としていることによります。区分の細分化は令和9年度の当初からの施行が基本とされており、年度の途中からの施行ではありません。出典は第136回社会保障審議会介護保険部会（令和8年9月18日）資料2です。政令・省令が公布された時点で負担限度額を確認し、5-6の補助給付等を再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3　令和8年9月の社会保障審議会介護保険部会において示された事項</w:t>
      </w:r>
    </w:p>
    <w:p>
      <w:pPr>
        <w:spacing w:after="120" w:line="300" w:lineRule="exact"/>
      </w:pPr>
      <w:r>
        <w:rPr>
          <w:rFonts w:ascii="游ゴシック" w:cs="游ゴシック" w:eastAsia="游ゴシック" w:hAnsi="游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-5および5-8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施策4-3（在宅医療・介護連携）および施策4-6（情報の共有）に位置づけます。村の介護保険事務システムの標準化対応とデータ移行の工程を確認します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村内の居宅介護支援事業所およびサービス事業所への周知と登録の支援を施策4-6に位置づけます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5-4(12)の担い手の枠の試算を補う材料として用います。村の区域を単位とする値が得られる範囲は示されていないため、公表された分析結果のうち用いられる範囲を確認して用います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いずれも本計画の見込量・給付費・保険料の算定には織り込んでいません。調整交付金の減額は、年齢区分の精緻化により交付額が増加する保険者を対象とし、増加額を限度とするものであるため、増加額が示されるまで減額の額を算定できません。第1号保険料の在り方は検討を行うことについて意見が求められた段階であり、結論および施行の時期は定まっていません。該当する項目は5-12に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4　中山間・人口減少地域（特定地域）への該当</w:t>
      </w:r>
    </w:p>
    <w:p>
      <w:pPr>
        <w:spacing w:after="120" w:line="300" w:lineRule="exact"/>
      </w:pPr>
      <w:r>
        <w:rPr>
          <w:rFonts w:ascii="游ゴシック" w:cs="游ゴシック" w:eastAsia="游ゴシック" w:hAnsi="游ゴシック"/>
          <w:sz w:val="21"/>
          <w:szCs w:val="21"/>
        </w:rPr>
        <w:t xml:space="preserve">特定地域の対象は、令和8年6月29日の社会保障審議会介護保険部会に素案として示され、令和8年7月15日の全国介護保険担当課長会議資料において、基準の見方とあわせて示されました。対象は3つの類型からなり、②は「75歳以上人口密度が5人／km²未満」または「75歳以上人口が1,000人未満かつ減少」のいずれかを満たす地域とされています。同資料は、「75歳以上人口密度」および「75歳以上人口」は足下のデータ（例：2025年）により、「75歳以上人口変化率」は直近3年間の変化率（例：2022年→2025年）により確認するとしています。</w:t>
      </w:r>
    </w:p>
    <w:p>
      <w:pPr>
        <w:spacing w:after="120" w:line="300" w:lineRule="exact"/>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本村の75歳以上人口は2020年の441人から2025年の480人へと増加しており（2-1。社人研推計）、直近3年間でも減少していない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特定のサービス類型の事業所が地域に存在しない、事業所が僅少かつ当該事業所が廃止を検討しているなど、現に指定サービス等を前提としたサービス基盤の維持が困難である地域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該当する見込み。村内で提供されているサービスは3種類にとどまり（2-5）、本村で利用実績のないサービスは12種類あります（5-4）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定を受けられるかどうかは本村にとって重要です。村内で提供されている介護サービスは訪問介護・通所介護・認知症対応型共同生活介護の3種類にとどまり（2-5）、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制度の内容は確定していません。特定地域サービスについては対象となるサービスの種類・人員配置基準の弾力化の程度・報酬の評価の方法が、特定地域居宅サービス等事業については事業の内容・費用の負担・事業費の上限が、いずれも今後定められます。このため本計画では、制度の内容が確定するまでは事業費を算定できません。5-4(4)および5-5は0で立てており（5-12）、確定した時点で見込量と事業費を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pPr>
        <w:spacing w:after="120" w:line="300" w:lineRule="exact"/>
      </w:pPr>
      <w:r>
        <w:rPr>
          <w:rFonts w:ascii="游ゴシック" w:cs="游ゴシック" w:eastAsia="游ゴシック" w:hAnsi="游ゴシック"/>
          <w:sz w:val="21"/>
          <w:szCs w:val="21"/>
        </w:rPr>
        <w:t xml:space="preserve">国は、中山間・人口減少地域の実情に応じたサービス提供体制の在り方の方向性を第10期計画に記載することを求めています。本計画では、村外の事業所に依存する構造への対応を施策3-1から施策3-4に、中長期的な観点から取り組むべき施策を5-11に示しています。</w:t>
      </w:r>
    </w:p>
    <w:p>
      <w:pPr>
        <w:keepNext/>
        <w:keepLines/>
        <w:spacing w:after="100" w:line="300" w:lineRule="exact"/>
      </w:pPr>
      <w:r>
        <w:rPr>
          <w:rFonts w:ascii="游ゴシック" w:cs="游ゴシック" w:eastAsia="游ゴシック" w:hAnsi="游ゴシック"/>
          <w:b/>
          <w:bCs/>
          <w:color w:val="2E75B6"/>
          <w:sz w:val="22"/>
          <w:szCs w:val="22"/>
        </w:rPr>
        <w:t xml:space="preserve">5　引き続き検討することとされた事項</w:t>
      </w:r>
    </w:p>
    <w:p>
      <w:pPr>
        <w:spacing w:after="120" w:line="300" w:lineRule="exact"/>
      </w:pPr>
      <w:r>
        <w:rPr>
          <w:rFonts w:ascii="游ゴシック" w:cs="游ゴシック" w:eastAsia="游ゴシック" w:hAnsi="游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保険部会（制度と計画）と介護給付費分科会（介護報酬）は別の決定の過程です。本節1から3および下表は前者によるものです。後者で検討されている介護報酬の単位・加算の要件は令和9年1月頃の諮問・答申まで確定せず、本計画は改定率・単価のいずれも織り込まずに算定しています（5-4(10)①・5-12）。確定した時点で単価を差し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引き続き検討することとされた事項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原典における記載</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5-4(5)・5-6。村内に多床室を有する施設はありませんが、施設サービスの利用者はすべて村外の施設であるため（2-5）、入所者の負担に関わります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5-4(1)・5-6。村内に有料老人ホームはありません（2-5）。村外の住まいを利用している方の負担と、居宅介護支援の給付費に関わります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5-5・施策1-2。本村の総合事業は従前相当サービスのみで、多様なサービス（サービスA・B・C・D）がいずれも未実施です（2-6）。給付から総合事業への移行が進む場合、受け皿の整備が前提になります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5-7・5-6。所得段階別の加入割合と、補足給付の資産の要件に関わります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5-6。高額介護サービス費は補助給付等に含まれます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事項は、いずれも結論および施行の時期が定まっていないため、本計画の見込量・給付費・保険料には織り込んでいません。ケアマネジメントに関する給付の在り方については、意見書が「丁寧に検討を行う」としている一方、令和8年9月の部会資料が一定の結論を得た論点として挙げているため、両方の記載を掲げています。利用者負担の水準と施行の時期は、いずれの資料にも示されていません。結論が示された事項については、5-12の確定の条件に従って再算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人口と世帯の状況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游ゴシック" w:cs="游ゴシック" w:eastAsia="游ゴシック" w:hAnsi="游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9）。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将来人口の見通し</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lineRule="exact"/>
      </w:pPr>
      <w:r>
        <w:rPr>
          <w:rFonts w:ascii="游ゴシック" w:cs="游ゴシック" w:eastAsia="游ゴシック" w:hAnsi="游ゴシック"/>
          <w:sz w:val="21"/>
          <w:szCs w:val="21"/>
        </w:rPr>
        <w:t xml:space="preserve">本節の将来推計は、国立社会保障・人口問題研究所「日本の地域別将来推計人口（令和5年推計）」の本村の系列によります。同推計は市区町村別に行われ、福島県では「浜通り地域」の13市町村のみを1つの地域にまとめて推計しています。本村は単独の市町村として収録されています。</w:t>
      </w:r>
    </w:p>
    <w:p>
      <w:pPr>
        <w:spacing w:after="120" w:line="300" w:lineRule="exact"/>
      </w:pPr>
      <w:r>
        <w:rPr>
          <w:rFonts w:ascii="游ゴシック" w:cs="游ゴシック" w:eastAsia="游ゴシック" w:hAnsi="游ゴシック"/>
          <w:sz w:val="21"/>
          <w:szCs w:val="21"/>
        </w:rPr>
        <w:t xml:space="preserve">一方、第1号被保険者数・サービス見込量・給付費・保険料の算定（第5章）には、厚生労働省が住民基本台帳を基礎として県内の保険者へ配布した推計人口を用います（令和8年8月配布）。介護保険の第1号被保険者は住民基本台帳を基礎とするためです。2つの系列の使い分けは5-1に示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値は、社人研が公表している福島県の市区町村別ファイル（`07.xlsx`）のシート「7402_北塩原村」と一致することを確かめています（data/原典_人口）。直前の平成30年推計では「福島県においては全県での推計のみ実施」とされ、本村の市町村別推計はありませんでした。第9期計画が「福島県内の市町村においては、全国と同様の方法による人口推計がなされていない」として福島県による住民基本台帳ベースの推計を用いたのは（本編40頁）、この平成30年推計を指すものです。令和5年推計により本村の市町村別推計が得られたため、本計画は地域の姿を示す統計に同推計を用います。</w:t>
      </w:r>
    </w:p>
    <w:p>
      <w:pPr>
        <w:spacing w:after="120" w:line="300" w:lineRule="exact"/>
      </w:pPr>
      <w:r>
        <w:rPr>
          <w:rFonts w:ascii="游ゴシック" w:cs="游ゴシック" w:eastAsia="游ゴシック" w:hAnsi="游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第1号被保険者数の推計</w:t>
      </w:r>
    </w:p>
    <w:p>
      <w:pPr>
        <w:spacing w:after="120" w:line="300" w:lineRule="exact"/>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令和7年12月末のみ実績です。</w:t>
      </w:r>
    </w:p>
    <w:p>
      <w:pPr>
        <w:spacing w:after="120" w:line="300" w:lineRule="exact"/>
      </w:pPr>
      <w:r>
        <w:rPr>
          <w:rFonts w:ascii="游ゴシック" w:cs="游ゴシック" w:eastAsia="游ゴシック" w:hAnsi="游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要支援・要介護認定の状況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図2-9　性・年齢調整済み認定率の推移（要介護度の区分別）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lineRule="exact"/>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keepNext/>
        <w:keepLines/>
        <w:spacing w:after="100" w:line="300" w:lineRule="exact"/>
      </w:pPr>
      <w:r>
        <w:rPr>
          <w:rFonts w:ascii="游ゴシック" w:cs="游ゴシック" w:eastAsia="游ゴシック" w:hAnsi="游ゴシック"/>
          <w:b/>
          <w:bCs/>
          <w:color w:val="2E75B6"/>
          <w:sz w:val="22"/>
          <w:szCs w:val="22"/>
        </w:rPr>
        <w:t xml:space="preserve">要介護度別の状況</w:t>
      </w:r>
    </w:p>
    <w:p>
      <w:pPr>
        <w:spacing w:after="120" w:line="300" w:lineRule="exact"/>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keepNext/>
        <w:keepLines/>
        <w:spacing w:after="100" w:line="300" w:lineRule="exact"/>
      </w:pPr>
      <w:r>
        <w:rPr>
          <w:rFonts w:ascii="游ゴシック" w:cs="游ゴシック" w:eastAsia="游ゴシック" w:hAnsi="游ゴシック"/>
          <w:b/>
          <w:bCs/>
          <w:color w:val="2E75B6"/>
          <w:sz w:val="22"/>
          <w:szCs w:val="22"/>
        </w:rPr>
        <w:t xml:space="preserve">性・年齢調整済み認定率</w:t>
      </w:r>
    </w:p>
    <w:p>
      <w:pPr>
        <w:spacing w:after="120" w:line="300" w:lineRule="exact"/>
      </w:pPr>
      <w:r>
        <w:rPr>
          <w:rFonts w:ascii="游ゴシック" w:cs="游ゴシック" w:eastAsia="游ゴシック" w:hAnsi="游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游ゴシック" w:cs="游ゴシック" w:eastAsia="游ゴシック" w:hAnsi="游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　出典：地域包括ケア「見える化」システム</w:t>
      </w:r>
    </w:p>
    <w:p>
      <w:pPr>
        <w:spacing w:after="120" w:line="300" w:lineRule="exact"/>
      </w:pPr>
      <w:r>
        <w:rPr>
          <w:rFonts w:ascii="游ゴシック" w:cs="游ゴシック" w:eastAsia="游ゴシック" w:hAnsi="游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游ゴシック" w:cs="游ゴシック" w:eastAsia="游ゴシック" w:hAnsi="游ゴシック"/>
          <w:sz w:val="21"/>
          <w:szCs w:val="21"/>
        </w:rPr>
        <w:t xml:space="preserve">重度化は進んでいません。進んでいるのは軽度の認定の増加です。2-3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評価指標が用いる「性・年齢調整済み要介護2以上認定率」は、令和5年度の実績で8.65%です（2-8）。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keepNext/>
        <w:keepLines/>
        <w:spacing w:after="100" w:line="300" w:lineRule="exact"/>
      </w:pPr>
      <w:r>
        <w:rPr>
          <w:rFonts w:ascii="游ゴシック" w:cs="游ゴシック" w:eastAsia="游ゴシック" w:hAnsi="游ゴシック"/>
          <w:b/>
          <w:bCs/>
          <w:color w:val="2E75B6"/>
          <w:sz w:val="22"/>
          <w:szCs w:val="22"/>
        </w:rPr>
        <w:t xml:space="preserve">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keepNext/>
        <w:keepLines/>
        <w:spacing w:after="100" w:line="300" w:lineRule="exact"/>
      </w:pPr>
      <w:r>
        <w:rPr>
          <w:rFonts w:ascii="游ゴシック" w:cs="游ゴシック" w:eastAsia="游ゴシック" w:hAnsi="游ゴシック"/>
          <w:b/>
          <w:bCs/>
          <w:color w:val="2E75B6"/>
          <w:sz w:val="22"/>
          <w:szCs w:val="22"/>
        </w:rPr>
        <w:t xml:space="preserve">認知症高齢者の状況</w:t>
      </w:r>
    </w:p>
    <w:p>
      <w:pPr>
        <w:spacing w:after="120" w:line="300" w:lineRule="exact"/>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123"/>
        <w:gridCol w:w="1123"/>
        <w:gridCol w:w="1123"/>
        <w:gridCol w:w="1123"/>
        <w:gridCol w:w="1123"/>
        <w:gridCol w:w="1123"/>
        <w:gridCol w:w="112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自立度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令和7年10月末</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令和8年4月末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Ⅱa</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Ⅱb</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Ⅲa</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Ⅲb</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M</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　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認定者数合計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Ⅱ以上の割合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63.7%</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を底に増え続け、直近の令和8年4月末は181人です。3年半で49人（37.1%）増えました。ただし令和2年10月末は152人であり、いったん減って再び増えた形です。認定者に占める割合でみると、令和2年10月末の70.4%から令和5年10月末の57.8%まで下がった後、令和8年4月末は65.8%まで戻っていますが、令和2年の水準には達していません。</w:t>
      </w:r>
    </w:p>
    <w:p>
      <w:pPr>
        <w:spacing w:after="120" w:line="300" w:lineRule="exact"/>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10月末の0.178人分から令和8年4月末の0.149人分へと薄くなっています。この点は施策3-2および5-4(8)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とB4-a（認定率）は出どころが異なります。B7は厚生労働省「介護保険総合データベース」により各年4月末日および10月末日の二時点で要介護認定を受けていた方を集計したもので、自立度は各人の直近の認定時点のものです。B4-aは同「介護保険事業状況報告」によります。このため実数の水準が異なり、令和8年4月末のB7の認定者数合計275人に対し、事業状況報告による同時点の認定者数は211人です。差は年によらずおおむね3割で一定しており（令和6年10月末は＋26.5%、令和8年4月末は＋30.3%）、データベースの違いによるものです。本節は実数ではなく構成比（Ⅱ以上の割合）を中心にお読みくださ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介護サービスの利用状況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図2-10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図2-11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図2-12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図2-13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図2-14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22,072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keepNext/>
        <w:keepLines/>
        <w:spacing w:after="100" w:line="300" w:lineRule="exact"/>
      </w:pPr>
      <w:r>
        <w:rPr>
          <w:rFonts w:ascii="游ゴシック" w:cs="游ゴシック" w:eastAsia="游ゴシック" w:hAnsi="游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306,567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keepNext/>
        <w:keepLines/>
        <w:spacing w:after="100" w:line="300" w:lineRule="exact"/>
      </w:pPr>
      <w:r>
        <w:rPr>
          <w:rFonts w:ascii="游ゴシック" w:cs="游ゴシック" w:eastAsia="游ゴシック" w:hAnsi="游ゴシック"/>
          <w:b/>
          <w:bCs/>
          <w:color w:val="2E75B6"/>
          <w:sz w:val="22"/>
          <w:szCs w:val="22"/>
        </w:rPr>
        <w:t xml:space="preserve">サービス区分別に見た変化</w:t>
      </w:r>
    </w:p>
    <w:p>
      <w:pPr>
        <w:spacing w:after="120" w:line="300" w:lineRule="exact"/>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lineRule="exact"/>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サービス供給体制の状況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図2-15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33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図2-16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keepNext/>
        <w:keepLines/>
        <w:spacing w:after="100" w:line="300" w:lineRule="exact"/>
      </w:pPr>
      <w:r>
        <w:rPr>
          <w:rFonts w:ascii="游ゴシック" w:cs="游ゴシック" w:eastAsia="游ゴシック" w:hAnsi="游ゴシック"/>
          <w:b/>
          <w:bCs/>
          <w:color w:val="2E75B6"/>
          <w:sz w:val="22"/>
          <w:szCs w:val="22"/>
        </w:rPr>
        <w:t xml:space="preserve">村内に所在する事業所の数</w:t>
      </w:r>
    </w:p>
    <w:p>
      <w:pPr>
        <w:spacing w:after="120" w:line="300" w:lineRule="exact"/>
      </w:pPr>
      <w:r>
        <w:rPr>
          <w:rFonts w:ascii="游ゴシック" w:cs="游ゴシック" w:eastAsia="游ゴシック" w:hAnsi="游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keepNext/>
        <w:keepLines/>
        <w:spacing w:after="100" w:line="300" w:lineRule="exact"/>
      </w:pPr>
      <w:r>
        <w:rPr>
          <w:rFonts w:ascii="游ゴシック" w:cs="游ゴシック" w:eastAsia="游ゴシック" w:hAnsi="游ゴシック"/>
          <w:b/>
          <w:bCs/>
          <w:color w:val="2E75B6"/>
          <w:sz w:val="22"/>
          <w:szCs w:val="22"/>
        </w:rPr>
        <w:t xml:space="preserve">事業所数からみた供給体制の位置</w:t>
      </w:r>
    </w:p>
    <w:p>
      <w:pPr>
        <w:spacing w:after="120" w:line="300" w:lineRule="exact"/>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keepNext/>
        <w:keepLines/>
        <w:spacing w:after="100" w:line="300" w:lineRule="exact"/>
      </w:pPr>
      <w:r>
        <w:rPr>
          <w:rFonts w:ascii="游ゴシック" w:cs="游ゴシック" w:eastAsia="游ゴシック" w:hAnsi="游ゴシック"/>
          <w:b/>
          <w:bCs/>
          <w:color w:val="2E75B6"/>
          <w:sz w:val="22"/>
          <w:szCs w:val="22"/>
        </w:rPr>
        <w:t xml:space="preserve">医療と介護の連携の状況（加算の算定状況）</w:t>
      </w:r>
    </w:p>
    <w:p>
      <w:pPr>
        <w:spacing w:after="120" w:line="300" w:lineRule="exact"/>
      </w:pPr>
      <w:r>
        <w:rPr>
          <w:rFonts w:ascii="游ゴシック" w:cs="游ゴシック" w:eastAsia="游ゴシック" w:hAnsi="游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村内に訪問看護事業所がないため値がない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7241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図2-17　医療と介護の連携に関する加算の算定率と全国の中での位置</w:t>
      </w:r>
    </w:p>
    <w:p>
      <w:pPr>
        <w:spacing w:after="200"/>
        <w:jc w:val="center"/>
      </w:pPr>
      <w:r>
        <w:rPr>
          <w:rFonts w:ascii="游ゴシック" w:cs="游ゴシック" w:eastAsia="游ゴシック" w:hAnsi="游ゴシック"/>
          <w:color w:val="595959"/>
          <w:sz w:val="16"/>
          <w:szCs w:val="16"/>
        </w:rPr>
        <w:t xml:space="preserve">出典：地域包括ケア「見える化」システム　地域分析（医療介護連携）</w:t>
      </w:r>
    </w:p>
    <w:p>
      <w:pPr>
        <w:spacing w:after="120" w:line="300" w:lineRule="exact"/>
      </w:pPr>
      <w:r>
        <w:rPr>
          <w:rFonts w:ascii="游ゴシック" w:cs="游ゴシック" w:eastAsia="游ゴシック" w:hAnsi="游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-3はこの状況を前提に組み立てます。</w:t>
      </w:r>
    </w:p>
    <w:p>
      <w:pPr>
        <w:keepNext/>
        <w:keepLines/>
        <w:spacing w:after="100" w:line="300" w:lineRule="exact"/>
      </w:pPr>
      <w:r>
        <w:rPr>
          <w:rFonts w:ascii="游ゴシック" w:cs="游ゴシック" w:eastAsia="游ゴシック" w:hAnsi="游ゴシック"/>
          <w:b/>
          <w:bCs/>
          <w:color w:val="2E75B6"/>
          <w:sz w:val="22"/>
          <w:szCs w:val="22"/>
        </w:rPr>
        <w:t xml:space="preserve">死亡場所別の死亡数</w:t>
      </w:r>
    </w:p>
    <w:p>
      <w:pPr>
        <w:spacing w:after="120" w:line="300" w:lineRule="exact"/>
      </w:pPr>
      <w:r>
        <w:rPr>
          <w:rFonts w:ascii="游ゴシック" w:cs="游ゴシック" w:eastAsia="游ゴシック" w:hAnsi="游ゴシック"/>
          <w:sz w:val="21"/>
          <w:szCs w:val="21"/>
        </w:rPr>
        <w:t xml:space="preserve">基本指針は、市町村介護保険事業計画の作成に当たり死亡場所別の死亡数を勘案することを求めています（資6）。「見える化」システムの地域分析には、死亡場所別の3つの系列が収録されています。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死亡場所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平成30年度</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老人ホーム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単位：人口10万人あたりの人数　出典：地域包括ケア「見える化」システム　地域分析（L27-a・L27-b・L27-c）</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の人口規模では、人口10万人あたり36.7は実数の1人に相当します。したがって上の3つの系列は、いずれの年も死亡場所ごとの実数が0人または1人であることを示しており、年による動きから傾向を読み取ることはできません。また、同システムの収録は令和元年度までであり、これより新しい値は得られません（表形式の出力にも実数値は収録されていません）。本計画は、死亡場所別の死亡数について、在宅での看取りが極めて少ない状態が続いていることのみを確かめられた事項として扱い、目標の設定には用いません。なお、同システムが示す本村の「在宅死亡者数（自宅）」の偏差値は33.68で、全国平均を大きく下回ります。看取りの体制は、医療と介護の連携（施策4-3）において、村外の医療機関・事業所との連携の課題として扱います。</w:t>
      </w:r>
    </w:p>
    <w:p>
      <w:pPr>
        <w:keepNext/>
        <w:keepLines/>
        <w:spacing w:after="100" w:line="300" w:lineRule="exact"/>
      </w:pPr>
      <w:r>
        <w:rPr>
          <w:rFonts w:ascii="游ゴシック" w:cs="游ゴシック" w:eastAsia="游ゴシック" w:hAnsi="游ゴシック"/>
          <w:b/>
          <w:bCs/>
          <w:color w:val="2E75B6"/>
          <w:sz w:val="22"/>
          <w:szCs w:val="22"/>
        </w:rPr>
        <w:t xml:space="preserve">村外サービスの利用状況</w:t>
      </w:r>
    </w:p>
    <w:p>
      <w:pPr>
        <w:spacing w:after="120" w:line="300" w:lineRule="exact"/>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lineRule="exact"/>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keepNext/>
        <w:keepLines/>
        <w:spacing w:after="100" w:line="300" w:lineRule="exact"/>
      </w:pPr>
      <w:r>
        <w:rPr>
          <w:rFonts w:ascii="游ゴシック" w:cs="游ゴシック" w:eastAsia="游ゴシック" w:hAnsi="游ゴシック"/>
          <w:b/>
          <w:bCs/>
          <w:color w:val="2E75B6"/>
          <w:sz w:val="22"/>
          <w:szCs w:val="22"/>
        </w:rPr>
        <w:t xml:space="preserve">介護ＳＣＲによる需要と供給の対比</w:t>
      </w:r>
    </w:p>
    <w:p>
      <w:pPr>
        <w:spacing w:after="120" w:line="300" w:lineRule="exact"/>
      </w:pPr>
      <w:r>
        <w:rPr>
          <w:rFonts w:ascii="游ゴシック" w:cs="游ゴシック" w:eastAsia="游ゴシック" w:hAnsi="游ゴシック"/>
          <w:sz w:val="21"/>
          <w:szCs w:val="21"/>
        </w:rPr>
        <w:t xml:space="preserve">自給率は給付月額の割合であるため、本村の利用そのものが全国の水準に比べて多いのか少ないのかは分かりません。これを補うのが介護ＳＣＲ（標準化レセプト出現比）です。本村の人口構成が全国と同じであると仮定した場合に見込まれるレセプトコードの出現数に対して、実際の出現数がどの程度離れているかを、全国平均を100として示します。性・年齢構成の違いが統計的に除かれているため、高齢化率の高い本村と全国とを同じ土俵で比べることができます。</w:t>
      </w:r>
    </w:p>
    <w:p>
      <w:pPr>
        <w:spacing w:after="120" w:line="300" w:lineRule="exact"/>
      </w:pPr>
      <w:r>
        <w:rPr>
          <w:rFonts w:ascii="游ゴシック" w:cs="游ゴシック" w:eastAsia="游ゴシック" w:hAnsi="游ゴシック"/>
          <w:sz w:val="21"/>
          <w:szCs w:val="21"/>
        </w:rPr>
        <w:t xml:space="preserve">2つの系列があります。ＳＣＲは利用者の住所地でみるもので、本村の被保険者がどこで利用したかを問わず数えます（需要）。ｘＳＣＲは事業所の所在地でみるもので、村内の事業所が誰に提供したかを問わず数えます（供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ＳＣＲ（需要）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ｘＳＣＲ（供給）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訪問系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通所系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短期入所系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居住系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施設系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住環境整備系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支援系（ケアマネジメント）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全国平均＝100。令和5年度（2023年度）　出典：厚生労働科学研究費補助金〈長寿科学政策研究〉「2040年を見据えた地域特性に応じた介護サービス提供体制の最適化と科学的介護の推進に関する調査研究」（研究代表者：陣内裕成）　※ 区分の階層は概説の別添2による</w:t>
      </w:r>
    </w:p>
    <w:p>
      <w:pPr>
        <w:spacing w:after="120" w:line="300" w:lineRule="exact"/>
      </w:pPr>
      <w:r>
        <w:rPr>
          <w:rFonts w:ascii="游ゴシック" w:cs="游ゴシック" w:eastAsia="游ゴシック" w:hAnsi="游ゴシック"/>
          <w:sz w:val="21"/>
          <w:szCs w:val="21"/>
        </w:rPr>
        <w:t xml:space="preserve">介護給付系はＳＣＲ59.0で、本村の被保険者の利用は全国の水準の6割にとどまります。予防給付系は177.6と全国の1.8倍です。提供形態別では訪問系が21.9と際立って低く、通所系78.5、施設系77.2、短期入所系76.8がこれに続き、居住系のみが170.4と全国を大きく上回ります。医療系の居宅サービスはさらに低く、訪問看護34.3、通所リハビリテーション27.7、居宅療養管理指導6.3です。村内に医療系の事業所がないことが利用の水準にそのまま表れており、施策4-3が村外の医療機関・事業所との連携を前提にせざるを得ない理由を数の上で裏づけています。</w:t>
      </w:r>
    </w:p>
    <w:p>
      <w:pPr>
        <w:spacing w:after="120" w:line="300" w:lineRule="exact"/>
      </w:pPr>
      <w:r>
        <w:rPr>
          <w:rFonts w:ascii="游ゴシック" w:cs="游ゴシック" w:eastAsia="游ゴシック" w:hAnsi="游ゴシック"/>
          <w:sz w:val="21"/>
          <w:szCs w:val="21"/>
        </w:rPr>
        <w:t xml:space="preserve">ｘＳＣＲが0でないのは訪問系・通所系・居住系・支援系の4区分です。サービス種別では訪問介護・通所介護・認知症対応型共同生活介護・居宅介護支援・介護予防支援の5種別で、村内に所在する事業所の構成と一致します。短期入所系・施設系・住環境整備系のｘＳＣＲが0であることは、これらを村内で提供する事業所がないことをそのまま示しています。通所系（ＳＣＲ78.5・ｘＳＣＲ120.6）と居住系（170.4・188.3）はｘＳＣＲがＳＣＲを上回り、村内の通所介護（定員50人）と認知症対応型共同生活介護（定員27人）が本村の需要を超える量を供給して村外の方も受け入れていることを示します。一方、訪問系はＳＣＲ21.9・ｘＳＣＲ7.4でいずれも極めて低く、村内の供給が落ちているだけでなく、本村の被保険者の訪問系サービスの利用そのものが全国の5分の1の水準です。施策3-1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ｘＳＣＲをＳＣＲで除した値は、村内の事業所によるレセプト件数を本村の被保険者のレセプト件数で除したものに当たります。自給率（給付月額による）とは分子の取り方が異なり、ｘＳＣＲの分子には村外の方への提供が含まれます。両者を同じ指標として扱わず、自給率は村内で受け止められている割合の指標として、介護ＳＣＲは全国との水準の比較に用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ＳＣＲは各年度の実績による単年度の集計であり、被保険者数の少ない市町村や利用者が限られるサービス区分では年度ごとの振れが生じやすいとされています。本計画は大区分の値を本文に用い、サービス種別の値は3か年の推移を併せて確かめたうえで適正化の重点の選定に用います（5-8(4)）。また、本指標の分子は給付費ではなくレセプトコードの出現数（件数）であるため給付費の多寡とは一致しません。サービス種類コードの加算・減算のコードは除かれており、第1号被保険者と第2号被保険者の双方を含みます。</w:t>
      </w:r>
    </w:p>
    <w:p>
      <w:pPr>
        <w:keepNext/>
        <w:keepLines/>
        <w:spacing w:after="100" w:line="300" w:lineRule="exact"/>
      </w:pPr>
      <w:r>
        <w:rPr>
          <w:rFonts w:ascii="游ゴシック" w:cs="游ゴシック" w:eastAsia="游ゴシック" w:hAnsi="游ゴシック"/>
          <w:b/>
          <w:bCs/>
          <w:color w:val="2E75B6"/>
          <w:sz w:val="22"/>
          <w:szCs w:val="22"/>
        </w:rPr>
        <w:t xml:space="preserve">供給の継続性を把握する手だて</w:t>
      </w:r>
    </w:p>
    <w:p>
      <w:pPr>
        <w:spacing w:after="120" w:line="300" w:lineRule="exact"/>
      </w:pPr>
      <w:r>
        <w:rPr>
          <w:rFonts w:ascii="游ゴシック" w:cs="游ゴシック" w:eastAsia="游ゴシック" w:hAnsi="游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游ゴシック" w:cs="游ゴシック" w:eastAsia="游ゴシック" w:hAnsi="游ゴシック"/>
          <w:sz w:val="21"/>
          <w:szCs w:val="21"/>
        </w:rPr>
        <w:t xml:space="preserve">村内の事業所についても、担い手は限られています。村内に所在する7つの事業所（訪問介護1・通所介護2・認知症対応型共同生活介護2・居宅介護支援2）を運営しているのは4つの法人です。うち1つの法人が訪問介護・通所介護・居宅介護支援の3事業所を担っており、村内で唯一の訪問介護の事業所もこの法人によるものです。残る3法人は、通所介護1か所と認知症対応型共同生活介護2か所をそれぞれ運営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出典：厚生労働省「介護サービス情報公表システム」オープンデータ（令和8年6月末時点。市町村コード074021で抽出）。法人の数は法人番号により数えており、名称の表記のゆれは同一の法人として扱っています。本計画は個々の法人名を掲げません。供給の担い手が少数の法人に集まっていることは、1つの法人の撤退がサービスの種類ごと失われることを意味します。とくに訪問介護は村内に1事業所しかなく、給付月額が平成29年度から令和7年度に73.1%減り、介護ＳＣＲも21.9と全国の5分の1の水準にあります。施策3-1・4-6で扱います。</w:t>
      </w:r>
    </w:p>
    <w:p>
      <w:pPr>
        <w:spacing w:after="120" w:line="300" w:lineRule="exact"/>
      </w:pPr>
      <w:r>
        <w:rPr>
          <w:rFonts w:ascii="游ゴシック" w:cs="游ゴシック" w:eastAsia="游ゴシック" w:hAnsi="游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出典：第136回社会保障審議会介護保険部会（令和8年9月18日）資料4「介護サービス事業者経営情報の調査及び分析等について」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介護経営DBの分析結果を用いていません。報告の受付が令和8年10月に再開される段階であり、分析の結果が示されるのは令和9年4月以降とされているためです。また、複数のサービスをまとめた報告や法人単位の報告が全報告の64.0%を占め、サービスごとに按分する処理の精度に課題があるとされています。村の区域を単位とする値が得られるかも示されていません。したがって本計画では、介護経営DBを施策の指標（KPI）には用いず、村外を含む供給の継続性を把握する情報源として位置づけます（施策4-6）。公表された分析結果のうち本村に用いられる範囲を確認したうえで、中間年の見直し（6-5）の材料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2-6　地域支援事業・介護予防の状況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図2-18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図2-19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lineRule="exact"/>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lineRule="exact"/>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lineRule="exact"/>
      </w:pPr>
      <w:r>
        <w:rPr>
          <w:rFonts w:ascii="游ゴシック" w:cs="游ゴシック" w:eastAsia="游ゴシック" w:hAnsi="游ゴシック"/>
          <w:b/>
          <w:bCs/>
          <w:color w:val="2E75B6"/>
          <w:sz w:val="22"/>
          <w:szCs w:val="22"/>
        </w:rPr>
        <w:t xml:space="preserve">地域包括支援センター</w:t>
      </w:r>
    </w:p>
    <w:p>
      <w:pPr>
        <w:spacing w:after="120" w:line="300" w:lineRule="exact"/>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2-7　介護保険財政の状況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図2-20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図2-21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図2-22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0.67倍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keepNext/>
        <w:keepLines/>
        <w:spacing w:after="100" w:line="300" w:lineRule="exact"/>
      </w:pPr>
      <w:r>
        <w:rPr>
          <w:rFonts w:ascii="游ゴシック" w:cs="游ゴシック" w:eastAsia="游ゴシック" w:hAnsi="游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2-8　保険者機能の評価</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図2-23　交付金 目標別得点と全国平均の対比（令和8年度）</w:t>
      </w:r>
    </w:p>
    <w:p>
      <w:pPr>
        <w:spacing w:after="200"/>
        <w:jc w:val="center"/>
      </w:pPr>
      <w:r>
        <w:rPr>
          <w:rFonts w:ascii="游ゴシック" w:cs="游ゴシック" w:eastAsia="游ゴシック" w:hAnsi="游ゴシック"/>
          <w:color w:val="595959"/>
          <w:sz w:val="16"/>
          <w:szCs w:val="16"/>
        </w:rPr>
        <w:t xml:space="preserve">出典：厚生労働省「令和8年度評価指標に係る該当状況調査票集計表」</w:t>
      </w:r>
    </w:p>
    <w:p>
      <w:pPr>
        <w:keepNext/>
        <w:keepLines/>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1527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図2-24　交付金 合計得点の推移（村・福島県平均・全国平均）</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w:t>
      </w:r>
    </w:p>
    <w:p>
      <w:pPr>
        <w:spacing w:after="120" w:line="300" w:lineRule="exact"/>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keepNext/>
        <w:keepLines/>
        <w:spacing w:after="100" w:line="300" w:lineRule="exact"/>
      </w:pPr>
      <w:r>
        <w:rPr>
          <w:rFonts w:ascii="游ゴシック" w:cs="游ゴシック" w:eastAsia="游ゴシック" w:hAnsi="游ゴシック"/>
          <w:b/>
          <w:bCs/>
          <w:color w:val="2E75B6"/>
          <w:sz w:val="22"/>
          <w:szCs w:val="22"/>
        </w:rPr>
        <w:t xml:space="preserve">目標別の得点の推移</w:t>
      </w:r>
    </w:p>
    <w:p>
      <w:pPr>
        <w:spacing w:after="120" w:line="300" w:lineRule="exact"/>
      </w:pPr>
      <w:r>
        <w:rPr>
          <w:rFonts w:ascii="游ゴシック" w:cs="游ゴシック" w:eastAsia="游ゴシック" w:hAnsi="游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123"/>
        <w:gridCol w:w="1123"/>
        <w:gridCol w:w="1123"/>
        <w:gridCol w:w="1685"/>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交付金・目標（各100点）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lineRule="exact"/>
      </w:pPr>
      <w:r>
        <w:rPr>
          <w:rFonts w:ascii="游ゴシック" w:cs="游ゴシック" w:eastAsia="游ゴシック" w:hAnsi="游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lineRule="exact"/>
      </w:pPr>
      <w:r>
        <w:rPr>
          <w:rFonts w:ascii="游ゴシック" w:cs="游ゴシック" w:eastAsia="游ゴシック" w:hAnsi="游ゴシック"/>
          <w:sz w:val="21"/>
          <w:szCs w:val="21"/>
        </w:rPr>
        <w:t xml:space="preserve">3か年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keepNext/>
        <w:keepLines/>
        <w:spacing w:after="100" w:line="300" w:lineRule="exact"/>
      </w:pPr>
      <w:r>
        <w:rPr>
          <w:rFonts w:ascii="游ゴシック" w:cs="游ゴシック" w:eastAsia="游ゴシック" w:hAnsi="游ゴシック"/>
          <w:b/>
          <w:bCs/>
          <w:color w:val="2E75B6"/>
          <w:sz w:val="22"/>
          <w:szCs w:val="22"/>
        </w:rPr>
        <w:t xml:space="preserve">得点が伸びた項目</w:t>
      </w:r>
    </w:p>
    <w:p>
      <w:pPr>
        <w:spacing w:after="120" w:line="300" w:lineRule="exact"/>
      </w:pPr>
      <w:r>
        <w:rPr>
          <w:rFonts w:ascii="游ゴシック" w:cs="游ゴシック" w:eastAsia="游ゴシック" w:hAnsi="游ゴシック"/>
          <w:sz w:val="21"/>
          <w:szCs w:val="21"/>
        </w:rPr>
        <w:t xml:space="preserve">3か年で152点増えた内訳を見ると、伸びは特定の領域に集中しています。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lineRule="exact"/>
      </w:pPr>
      <w:r>
        <w:rPr>
          <w:rFonts w:ascii="游ゴシック" w:cs="游ゴシック" w:eastAsia="游ゴシック" w:hAnsi="游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keepNext/>
        <w:keepLines/>
        <w:spacing w:after="100" w:line="300" w:lineRule="exact"/>
      </w:pPr>
      <w:r>
        <w:rPr>
          <w:rFonts w:ascii="游ゴシック" w:cs="游ゴシック" w:eastAsia="游ゴシック" w:hAnsi="游ゴシック"/>
          <w:b/>
          <w:bCs/>
          <w:color w:val="2E75B6"/>
          <w:sz w:val="22"/>
          <w:szCs w:val="22"/>
        </w:rPr>
        <w:t xml:space="preserve">指標群別にみると</w:t>
      </w:r>
    </w:p>
    <w:p>
      <w:pPr>
        <w:spacing w:after="120" w:line="300" w:lineRule="exact"/>
      </w:pPr>
      <w:r>
        <w:rPr>
          <w:rFonts w:ascii="游ゴシック" w:cs="游ゴシック" w:eastAsia="游ゴシック" w:hAnsi="游ゴシック"/>
          <w:sz w:val="21"/>
          <w:szCs w:val="21"/>
        </w:rPr>
        <w:t xml:space="preserve">評価指標は、体制の整備を評価する「取組・体制指標群」、実際の活動量を評価する「活動指標群」、要介護度の変化等の結果を評価する「成果指標群」の3つに分かれます。令和6年度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434"/>
        <w:gridCol w:w="2621"/>
        <w:gridCol w:w="168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指標群</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保険者機能強化推進交付金</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介護保険保険者努力支援交付金</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成果指標群</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取組・体制指標群と成果指標群では一定の得点を得ている一方、活動指標群は38点にとどまります。会議体や計画などの体制は整っているものの、そこから生まれる活動の量が十分でないことを示しています。施策の重点を、体制の整備から活動量の確保へ移す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指標群別の内訳は地域包括ケア「見える化」システム（同システムの令和5年度。本表の令和6年度に当たります）によります。令和7年度・令和8年度の指標群別の内訳は同システムに収録がないため、本表は令和6年度のみを示しています。</w:t>
      </w:r>
    </w:p>
    <w:p>
      <w:pPr>
        <w:keepNext/>
        <w:keepLines/>
        <w:spacing w:after="100" w:line="300" w:lineRule="exact"/>
      </w:pPr>
      <w:r>
        <w:rPr>
          <w:rFonts w:ascii="游ゴシック" w:cs="游ゴシック" w:eastAsia="游ゴシック" w:hAnsi="游ゴシック"/>
          <w:b/>
          <w:bCs/>
          <w:color w:val="2E75B6"/>
          <w:sz w:val="22"/>
          <w:szCs w:val="22"/>
        </w:rPr>
        <w:t xml:space="preserve">3か年の推移の全体像</w:t>
      </w:r>
    </w:p>
    <w:p>
      <w:pPr>
        <w:spacing w:after="120" w:line="300" w:lineRule="exact"/>
      </w:pPr>
      <w:r>
        <w:rPr>
          <w:rFonts w:ascii="游ゴシック" w:cs="游ゴシック" w:eastAsia="游ゴシック" w:hAnsi="游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得点計 146点</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lineRule="exact"/>
      </w:pPr>
      <w:r>
        <w:rPr>
          <w:rFonts w:ascii="游ゴシック" w:cs="游ゴシック" w:eastAsia="游ゴシック" w:hAnsi="游ゴシック"/>
          <w:sz w:val="21"/>
          <w:szCs w:val="21"/>
        </w:rPr>
        <w:t xml:space="preserve">満点を3か年維持しているのは50項目146点です。配点の大きいものは給付費適正化方策の策定（ア・イ各8点）と在宅医療・介護連携（支援目標Ⅲの9項目32点）で、本村の強みにあたります。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lineRule="exact"/>
      </w:pPr>
      <w:r>
        <w:rPr>
          <w:rFonts w:ascii="游ゴシック" w:cs="游ゴシック" w:eastAsia="游ゴシック" w:hAnsi="游ゴシック"/>
          <w:sz w:val="21"/>
          <w:szCs w:val="21"/>
        </w:rPr>
        <w:t xml:space="preserve">悪化した23項目115点の内訳を分けると、18項目93点は成果指標群（要介護度の変化・健康寿命）です。これらは国の統計から自動的に算定されるため、村の取組の後退を示すものではありません。村の取組として後退したのは次の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744"/>
        <w:gridCol w:w="936"/>
        <w:gridCol w:w="1498"/>
        <w:gridCol w:w="168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給付適正化の主要な事業の実施と記録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支援・目標Ⅰ</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総合事業における従前相当以外のサービスの実施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重いのは「給付適正化の主要な事業の実施と記録」で、全国の96.9%が取得している項目です。本村は令和6年度・令和7年度は取得しており、令和8年度に落としました。福祉用具購入費・住宅改修費の妥当性の検討（65.1%）、在宅医療・介護連携の4つの場面ごとの目指すべき姿の設定（72.3%）、相談内容の取りまとめと関係者間での共有（85.9%）も同様です。取組が止まったのか、国への該当状況調査票の記載によるものかを確認する必要があります。取組が止まったのであれば、令和9年度の評価で取り戻せます。</w:t>
      </w:r>
    </w:p>
    <w:p>
      <w:pPr>
        <w:keepNext/>
        <w:keepLines/>
        <w:spacing w:after="100" w:line="300" w:lineRule="exact"/>
      </w:pPr>
      <w:r>
        <w:rPr>
          <w:rFonts w:ascii="游ゴシック" w:cs="游ゴシック" w:eastAsia="游ゴシック" w:hAnsi="游ゴシック"/>
          <w:b/>
          <w:bCs/>
          <w:color w:val="2E75B6"/>
          <w:sz w:val="22"/>
          <w:szCs w:val="22"/>
        </w:rPr>
        <w:t xml:space="preserve">目標別に全国平均と比べると</w:t>
      </w:r>
    </w:p>
    <w:p>
      <w:pPr>
        <w:spacing w:after="120" w:line="300" w:lineRule="exact"/>
      </w:pPr>
      <w:r>
        <w:rPr>
          <w:rFonts w:ascii="游ゴシック" w:cs="游ゴシック" w:eastAsia="游ゴシック" w:hAnsi="游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030"/>
        <w:gridCol w:w="1030"/>
        <w:gridCol w:w="1030"/>
        <w:gridCol w:w="1028"/>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1,477位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県平均・県内順位は福島県内59市町村、全国順位は全国1,741市町村の中での位置です。各目標の配点はいずれも100点です。</w:t>
      </w:r>
    </w:p>
    <w:p>
      <w:pPr>
        <w:spacing w:after="120" w:line="300" w:lineRule="exact"/>
      </w:pPr>
      <w:r>
        <w:rPr>
          <w:rFonts w:ascii="游ゴシック" w:cs="游ゴシック" w:eastAsia="游ゴシック" w:hAnsi="游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lineRule="exact"/>
      </w:pPr>
      <w:r>
        <w:rPr>
          <w:rFonts w:ascii="游ゴシック" w:cs="游ゴシック" w:eastAsia="游ゴシック" w:hAnsi="游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lineRule="exact"/>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keepNext/>
        <w:keepLines/>
        <w:spacing w:after="100" w:line="300" w:lineRule="exact"/>
      </w:pPr>
      <w:r>
        <w:rPr>
          <w:rFonts w:ascii="游ゴシック" w:cs="游ゴシック" w:eastAsia="游ゴシック" w:hAnsi="游ゴシック"/>
          <w:b/>
          <w:bCs/>
          <w:color w:val="2E75B6"/>
          <w:sz w:val="22"/>
          <w:szCs w:val="22"/>
        </w:rPr>
        <w:t xml:space="preserve">福島県の評価と重ねると</w:t>
      </w:r>
    </w:p>
    <w:p>
      <w:pPr>
        <w:spacing w:after="120" w:line="300" w:lineRule="exact"/>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262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keepNext/>
        <w:keepLines/>
        <w:spacing w:after="100" w:line="300" w:lineRule="exact"/>
      </w:pPr>
      <w:r>
        <w:rPr>
          <w:rFonts w:ascii="游ゴシック" w:cs="游ゴシック" w:eastAsia="游ゴシック" w:hAnsi="游ゴシック"/>
          <w:b/>
          <w:bCs/>
          <w:color w:val="2E75B6"/>
          <w:sz w:val="22"/>
          <w:szCs w:val="22"/>
        </w:rPr>
        <w:t xml:space="preserve">残された課題は2点です</w:t>
      </w:r>
    </w:p>
    <w:p>
      <w:pPr>
        <w:spacing w:after="120" w:line="300" w:lineRule="exact"/>
      </w:pPr>
      <w:r>
        <w:rPr>
          <w:rFonts w:ascii="游ゴシック" w:cs="游ゴシック" w:eastAsia="游ゴシック" w:hAnsi="游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keepNext/>
        <w:keepLines/>
        <w:spacing w:after="100" w:line="300" w:lineRule="exact"/>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lineRule="exact"/>
      </w:pPr>
      <w:r>
        <w:rPr>
          <w:rFonts w:ascii="游ゴシック" w:cs="游ゴシック" w:eastAsia="游ゴシック" w:hAnsi="游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680"/>
        <w:gridCol w:w="936"/>
        <w:gridCol w:w="2246"/>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74.4%</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50.0〜70.0%</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成果指標（アウトカム）の状況</w:t>
      </w:r>
    </w:p>
    <w:p>
      <w:pPr>
        <w:spacing w:after="120" w:line="300" w:lineRule="exact"/>
      </w:pPr>
      <w:r>
        <w:rPr>
          <w:rFonts w:ascii="游ゴシック" w:cs="游ゴシック" w:eastAsia="游ゴシック" w:hAnsi="游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842"/>
        <w:gridCol w:w="1310"/>
        <w:gridCol w:w="1310"/>
        <w:gridCol w:w="1310"/>
        <w:gridCol w:w="1218"/>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lineRule="exact"/>
      </w:pPr>
      <w:r>
        <w:rPr>
          <w:rFonts w:ascii="游ゴシック" w:cs="游ゴシック" w:eastAsia="游ゴシック" w:hAnsi="游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355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重度化が進行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前年よりさらに悪化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改善</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2-9　第9期計画の進捗と評価</w:t>
      </w:r>
    </w:p>
    <w:p>
      <w:pPr>
        <w:spacing w:after="120" w:line="300" w:lineRule="exact"/>
      </w:pPr>
      <w:r>
        <w:rPr>
          <w:rFonts w:ascii="游ゴシック" w:cs="游ゴシック" w:eastAsia="游ゴシック" w:hAnsi="游ゴシック"/>
          <w:sz w:val="21"/>
          <w:szCs w:val="21"/>
        </w:rPr>
        <w:t xml:space="preserve">第9期計画に掲げた数値と実績を比較し、乖離の状況とその要因を検証しました。</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246"/>
        <w:gridCol w:w="2621"/>
        <w:gridCol w:w="2247"/>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＋58人</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＋61人</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計画は、住民基本台帳をもとにした福島県による将来推計人口の65歳以上人口（令和7年950人）をそのまま第1号被保険者数の計画値とし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keepNext/>
        <w:keepLines/>
        <w:spacing w:after="100" w:line="300" w:lineRule="exact"/>
      </w:pPr>
      <w:r>
        <w:rPr>
          <w:rFonts w:ascii="游ゴシック" w:cs="游ゴシック" w:eastAsia="游ゴシック" w:hAnsi="游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434"/>
        <w:gridCol w:w="2434"/>
        <w:gridCol w:w="224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令和5年度は見込みを1.4%上回りました。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編集注記：令和6年度決算および令和7年度の給付費見込の提供を受けたうえで、第9期全体の乖離を確定します。</w:t>
      </w:r>
    </w:p>
    <w:p>
      <w:pPr>
        <w:keepNext/>
        <w:keepLines/>
        <w:spacing w:after="100" w:line="300" w:lineRule="exact"/>
      </w:pPr>
      <w:r>
        <w:rPr>
          <w:rFonts w:ascii="游ゴシック" w:cs="游ゴシック" w:eastAsia="游ゴシック" w:hAnsi="游ゴシック"/>
          <w:b/>
          <w:bCs/>
          <w:color w:val="2E75B6"/>
          <w:sz w:val="22"/>
          <w:szCs w:val="22"/>
        </w:rPr>
        <w:t xml:space="preserve">検証から得られた課題</w:t>
      </w:r>
    </w:p>
    <w:p>
      <w:pPr>
        <w:spacing w:after="120" w:line="300" w:lineRule="exact"/>
      </w:pPr>
      <w:r>
        <w:rPr>
          <w:rFonts w:ascii="游ゴシック" w:cs="游ゴシック" w:eastAsia="游ゴシック" w:hAnsi="游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2-10　アンケート調査結果</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2-11　本村の課題</w:t>
      </w:r>
    </w:p>
    <w:p>
      <w:pPr>
        <w:spacing w:after="120" w:line="300" w:lineRule="exact"/>
      </w:pPr>
      <w:r>
        <w:rPr>
          <w:rFonts w:ascii="游ゴシック" w:cs="游ゴシック" w:eastAsia="游ゴシック" w:hAnsi="游ゴシック"/>
          <w:sz w:val="21"/>
          <w:szCs w:val="21"/>
        </w:rPr>
        <w:t xml:space="preserve">これまでの分析から、本村の課題は次の6点に整理されます。</w:t>
      </w:r>
    </w:p>
    <w:p>
      <w:pPr>
        <w:keepNext/>
        <w:keepLines/>
        <w:spacing w:after="100" w:line="300" w:lineRule="exact"/>
      </w:pPr>
      <w:r>
        <w:rPr>
          <w:rFonts w:ascii="游ゴシック" w:cs="游ゴシック" w:eastAsia="游ゴシック" w:hAnsi="游ゴシック"/>
          <w:b/>
          <w:bCs/>
          <w:color w:val="2E75B6"/>
          <w:sz w:val="22"/>
          <w:szCs w:val="22"/>
        </w:rPr>
        <w:t xml:space="preserve">課題1　認定を受けても、利用できるサービスが限られています</w:t>
      </w:r>
    </w:p>
    <w:p>
      <w:pPr>
        <w:spacing w:after="120" w:line="300" w:lineRule="exact"/>
      </w:pPr>
      <w:r>
        <w:rPr>
          <w:rFonts w:ascii="游ゴシック" w:cs="游ゴシック" w:eastAsia="游ゴシック" w:hAnsi="游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lineRule="exact"/>
      </w:pPr>
      <w:r>
        <w:rPr>
          <w:rFonts w:ascii="游ゴシック" w:cs="游ゴシック" w:eastAsia="游ゴシック" w:hAnsi="游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keepNext/>
        <w:keepLines/>
        <w:spacing w:after="100" w:line="300" w:lineRule="exact"/>
      </w:pPr>
      <w:r>
        <w:rPr>
          <w:rFonts w:ascii="游ゴシック" w:cs="游ゴシック" w:eastAsia="游ゴシック" w:hAnsi="游ゴシック"/>
          <w:b/>
          <w:bCs/>
          <w:color w:val="2E75B6"/>
          <w:sz w:val="22"/>
          <w:szCs w:val="22"/>
        </w:rPr>
        <w:t xml:space="preserve">課題2　軽度の方が急増し、その受け皿が整っていません</w:t>
      </w:r>
    </w:p>
    <w:p>
      <w:pPr>
        <w:spacing w:after="120" w:line="300" w:lineRule="exact"/>
      </w:pPr>
      <w:r>
        <w:rPr>
          <w:rFonts w:ascii="游ゴシック" w:cs="游ゴシック" w:eastAsia="游ゴシック" w:hAnsi="游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keepNext/>
        <w:keepLines/>
        <w:spacing w:after="100" w:line="300" w:lineRule="exact"/>
      </w:pPr>
      <w:r>
        <w:rPr>
          <w:rFonts w:ascii="游ゴシック" w:cs="游ゴシック" w:eastAsia="游ゴシック" w:hAnsi="游ゴシック"/>
          <w:b/>
          <w:bCs/>
          <w:color w:val="2E75B6"/>
          <w:sz w:val="22"/>
          <w:szCs w:val="22"/>
        </w:rPr>
        <w:t xml:space="preserve">課題3　計画を評価し改善する仕組みを定着させる必要があります</w:t>
      </w:r>
    </w:p>
    <w:p>
      <w:pPr>
        <w:spacing w:after="120" w:line="300" w:lineRule="exact"/>
      </w:pPr>
      <w:r>
        <w:rPr>
          <w:rFonts w:ascii="游ゴシック" w:cs="游ゴシック" w:eastAsia="游ゴシック" w:hAnsi="游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lineRule="exact"/>
      </w:pPr>
      <w:r>
        <w:rPr>
          <w:rFonts w:ascii="游ゴシック" w:cs="游ゴシック" w:eastAsia="游ゴシック" w:hAnsi="游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keepNext/>
        <w:keepLines/>
        <w:spacing w:after="100" w:line="300" w:lineRule="exact"/>
      </w:pPr>
      <w:r>
        <w:rPr>
          <w:rFonts w:ascii="游ゴシック" w:cs="游ゴシック" w:eastAsia="游ゴシック" w:hAnsi="游ゴシック"/>
          <w:b/>
          <w:bCs/>
          <w:color w:val="2E75B6"/>
          <w:sz w:val="22"/>
          <w:szCs w:val="22"/>
        </w:rPr>
        <w:t xml:space="preserve">課題4　保険料と給付水準の関係を説明する必要があります</w:t>
      </w:r>
    </w:p>
    <w:p>
      <w:pPr>
        <w:spacing w:after="120" w:line="300" w:lineRule="exact"/>
      </w:pPr>
      <w:r>
        <w:rPr>
          <w:rFonts w:ascii="游ゴシック" w:cs="游ゴシック" w:eastAsia="游ゴシック" w:hAnsi="游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keepNext/>
        <w:keepLines/>
        <w:spacing w:after="100" w:line="300" w:lineRule="exact"/>
      </w:pPr>
      <w:r>
        <w:rPr>
          <w:rFonts w:ascii="游ゴシック" w:cs="游ゴシック" w:eastAsia="游ゴシック" w:hAnsi="游ゴシック"/>
          <w:b/>
          <w:bCs/>
          <w:color w:val="2E75B6"/>
          <w:sz w:val="22"/>
          <w:szCs w:val="22"/>
        </w:rPr>
        <w:t xml:space="preserve">課題5　人口構造の転換に備える必要があります</w:t>
      </w:r>
    </w:p>
    <w:p>
      <w:pPr>
        <w:spacing w:after="120" w:line="300" w:lineRule="exact"/>
      </w:pPr>
      <w:r>
        <w:rPr>
          <w:rFonts w:ascii="游ゴシック" w:cs="游ゴシック" w:eastAsia="游ゴシック" w:hAnsi="游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keepNext/>
        <w:keepLines/>
        <w:spacing w:after="100" w:line="300" w:lineRule="exact"/>
      </w:pPr>
      <w:r>
        <w:rPr>
          <w:rFonts w:ascii="游ゴシック" w:cs="游ゴシック" w:eastAsia="游ゴシック" w:hAnsi="游ゴシック"/>
          <w:b/>
          <w:bCs/>
          <w:color w:val="2E75B6"/>
          <w:sz w:val="22"/>
          <w:szCs w:val="22"/>
        </w:rPr>
        <w:t xml:space="preserve">課題6　冬期の生活と移動を支える必要があります</w:t>
      </w:r>
    </w:p>
    <w:p>
      <w:pPr>
        <w:spacing w:after="120" w:line="300" w:lineRule="exact"/>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lineRule="exact"/>
      </w:pPr>
      <w:r>
        <w:rPr>
          <w:rFonts w:ascii="游ゴシック" w:cs="游ゴシック" w:eastAsia="游ゴシック" w:hAnsi="游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基本理念</w:t>
      </w:r>
    </w:p>
    <w:p>
      <w:pPr>
        <w:spacing w:after="120" w:line="300" w:lineRule="exact"/>
      </w:pPr>
      <w:r>
        <w:rPr>
          <w:rFonts w:ascii="游ゴシック" w:cs="游ゴシック" w:eastAsia="游ゴシック" w:hAnsi="游ゴシック"/>
          <w:sz w:val="21"/>
          <w:szCs w:val="21"/>
        </w:rPr>
        <w:t xml:space="preserve">本計画は、第9期計画の基本理念を継承します。</w:t>
      </w:r>
    </w:p>
    <w:p>
      <w:pPr>
        <w:keepNext/>
        <w:keepLines/>
        <w:spacing w:after="100" w:line="300" w:lineRule="exact"/>
      </w:pPr>
      <w:r>
        <w:rPr>
          <w:rFonts w:ascii="游ゴシック" w:cs="游ゴシック" w:eastAsia="游ゴシック" w:hAnsi="游ゴシック"/>
          <w:b/>
          <w:bCs/>
          <w:color w:val="2E75B6"/>
          <w:sz w:val="22"/>
          <w:szCs w:val="22"/>
        </w:rPr>
        <w:t xml:space="preserve">「結」のこころを持って支え合う地域共生社会</w:t>
      </w:r>
    </w:p>
    <w:p>
      <w:pPr>
        <w:keepNext/>
        <w:keepLines/>
        <w:spacing w:after="100" w:line="300" w:lineRule="exact"/>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lineRule="exact"/>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基本目標</w:t>
      </w:r>
    </w:p>
    <w:p>
      <w:pPr>
        <w:spacing w:after="120" w:line="300" w:lineRule="exact"/>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第10期の重点</w:t>
      </w:r>
    </w:p>
    <w:p>
      <w:pPr>
        <w:spacing w:after="120" w:line="300" w:lineRule="exact"/>
      </w:pPr>
      <w:r>
        <w:rPr>
          <w:rFonts w:ascii="游ゴシック" w:cs="游ゴシック" w:eastAsia="游ゴシック" w:hAnsi="游ゴシック"/>
          <w:sz w:val="21"/>
          <w:szCs w:val="21"/>
        </w:rPr>
        <w:t xml:space="preserve">2-11で整理した6つの課題を踏まえ、本計画では次の4点を重点として取り組みます。</w:t>
      </w:r>
    </w:p>
    <w:p>
      <w:pPr>
        <w:keepNext/>
        <w:keepLines/>
        <w:spacing w:after="100" w:line="300" w:lineRule="exact"/>
      </w:pPr>
      <w:r>
        <w:rPr>
          <w:rFonts w:ascii="游ゴシック" w:cs="游ゴシック" w:eastAsia="游ゴシック" w:hAnsi="游ゴシック"/>
          <w:b/>
          <w:bCs/>
          <w:color w:val="2E75B6"/>
          <w:sz w:val="22"/>
          <w:szCs w:val="22"/>
        </w:rPr>
        <w:t xml:space="preserve">重点1　軽度の方の重度化を防ぎます</w:t>
      </w:r>
    </w:p>
    <w:p>
      <w:pPr>
        <w:spacing w:after="120" w:line="300" w:lineRule="exact"/>
      </w:pPr>
      <w:r>
        <w:rPr>
          <w:rFonts w:ascii="游ゴシック" w:cs="游ゴシック" w:eastAsia="游ゴシック" w:hAnsi="游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令和5年度の決算で事業費の計上なし）。多様なサービスの創設を検討するとともに、通いの場は開催の頻度を高め、一般介護予防事業を拡充します。（課題2に対応）</w:t>
      </w:r>
    </w:p>
    <w:p>
      <w:pPr>
        <w:keepNext/>
        <w:keepLines/>
        <w:spacing w:after="100" w:line="300" w:lineRule="exact"/>
      </w:pPr>
      <w:r>
        <w:rPr>
          <w:rFonts w:ascii="游ゴシック" w:cs="游ゴシック" w:eastAsia="游ゴシック" w:hAnsi="游ゴシック"/>
          <w:b/>
          <w:bCs/>
          <w:color w:val="2E75B6"/>
          <w:sz w:val="22"/>
          <w:szCs w:val="22"/>
        </w:rPr>
        <w:t xml:space="preserve">重点2　後期高齢者の増加に備えます</w:t>
      </w:r>
    </w:p>
    <w:p>
      <w:pPr>
        <w:spacing w:after="120" w:line="300" w:lineRule="exact"/>
      </w:pPr>
      <w:r>
        <w:rPr>
          <w:rFonts w:ascii="游ゴシック" w:cs="游ゴシック" w:eastAsia="游ゴシック" w:hAnsi="游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keepNext/>
        <w:keepLines/>
        <w:spacing w:after="100" w:line="300" w:lineRule="exact"/>
      </w:pPr>
      <w:r>
        <w:rPr>
          <w:rFonts w:ascii="游ゴシック" w:cs="游ゴシック" w:eastAsia="游ゴシック" w:hAnsi="游ゴシック"/>
          <w:b/>
          <w:bCs/>
          <w:color w:val="2E75B6"/>
          <w:sz w:val="22"/>
          <w:szCs w:val="22"/>
        </w:rPr>
        <w:t xml:space="preserve">重点3　冬期の生活と移動を支えます</w:t>
      </w:r>
    </w:p>
    <w:p>
      <w:pPr>
        <w:spacing w:after="120" w:line="300" w:lineRule="exact"/>
      </w:pPr>
      <w:r>
        <w:rPr>
          <w:rFonts w:ascii="游ゴシック" w:cs="游ゴシック" w:eastAsia="游ゴシック" w:hAnsi="游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keepNext/>
        <w:keepLines/>
        <w:spacing w:after="100" w:line="300" w:lineRule="exact"/>
      </w:pPr>
      <w:r>
        <w:rPr>
          <w:rFonts w:ascii="游ゴシック" w:cs="游ゴシック" w:eastAsia="游ゴシック" w:hAnsi="游ゴシック"/>
          <w:b/>
          <w:bCs/>
          <w:color w:val="2E75B6"/>
          <w:sz w:val="22"/>
          <w:szCs w:val="22"/>
        </w:rPr>
        <w:t xml:space="preserve">重点4　計画を評価し改善する仕組みをつくります</w:t>
      </w:r>
    </w:p>
    <w:p>
      <w:pPr>
        <w:spacing w:after="120" w:line="300" w:lineRule="exact"/>
      </w:pPr>
      <w:r>
        <w:rPr>
          <w:rFonts w:ascii="游ゴシック" w:cs="游ゴシック" w:eastAsia="游ゴシック" w:hAnsi="游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r>
        <w:br w:type="pag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施策の体系</w:t>
      </w:r>
    </w:p>
    <w:p>
      <w:pPr>
        <w:keepNext/>
        <w:keepLines/>
        <w:spacing w:after="60" w:before="160"/>
        <w:jc w:val="center"/>
      </w:pPr>
      <w:r>
        <w:drawing>
          <wp:inline distT="0" distB="0" distL="0" distR="0">
            <wp:extent cx="5038725" cy="813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38725" cy="81343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spacing w:after="120" w:line="300" w:lineRule="exact"/>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施策体系の対応表</w:t>
      </w:r>
    </w:p>
    <w:p>
      <w:pPr>
        <w:spacing w:after="120" w:line="300" w:lineRule="exact"/>
      </w:pPr>
      <w:r>
        <w:rPr>
          <w:rFonts w:ascii="游ゴシック" w:cs="游ゴシック" w:eastAsia="游ゴシック" w:hAnsi="游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842"/>
        <w:gridCol w:w="2995"/>
        <w:gridCol w:w="1404"/>
        <w:gridCol w:w="843"/>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主な根拠</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交付金の目標</w:t>
            </w:r>
          </w:p>
        </w:tc>
        <w:tc>
          <w:tcPr>
            <w:tcW w:type="dxa" w:w="84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SDGs</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 総合事業における多様なサービスの実施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 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介保法115条の45第1項第3号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 日常生活の安全確保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 地域支え合い活動の促進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 冬期の生活支援（除雪）</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 居宅サービスの確保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 短期入所サービスの確保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 介護給付の適正化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 地域ケア会議の充実</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介保法115条の48（会議）</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 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 認知症施策の推進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 生活支援体制の整備</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介保法115条の45第2項第5号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 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成年後見促進法14条1項（市町村計画）／介保法115条の45第3項第3号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 評価結果の関係者間共有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介保法122条の2（交付金）</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599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本計画との関わり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基本目標1　健康づくりと介護予防施策の充実・推進【最重点】</w:t>
      </w:r>
    </w:p>
    <w:p>
      <w:pPr>
        <w:spacing w:after="120" w:line="300" w:lineRule="exact"/>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施策1-1　通いの場の開催頻度の向上と地区差の是正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令和6年度の通いの場は23か所・参加者281人（参加率27.8%）、うち週1回以上の開催は8か所・123人（同12.2%）です（2-6）。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施策1-2　総合事業における多様なサービスの実施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ただし、実施のための基準はすでに整っています。北塩原村介護予防・日常生活支援総合事業第1号訪問事業多様なサービスの人員、設備及び運営に関する基準を定める要綱（平成29年訓令第6号）と、同第1号通所事業に係る要綱（平成29年訓令第7号）が、いずれも緩和した基準によるサービス（訪問型サービスA・通所型サービスA）の基準を定めています。あわせて北塩原村基準該当サービス事業者等に関する要綱（令和2年訓令第5号）があります。不足しているのは基準の整備ではなく、担い手の確保と事業者の指定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すでに基準を定めている訪問型サービスA・通所型サービスAについて、担い手となる事業者を確保します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住民主体のサービスB・短期集中のサービスCは基準を定めていないため、必要に応じて要綱を整備します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毎日の食事の確保が課題となる世帯への配食について、総合事業による実施を検討します。村単独の弁当配達は年4回であり、量の目標は4-6(2)に掲げています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施策1-3　一般介護予防事業の拡充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施策1-4　介護予防におけるデータ活用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施策1-5　地域リハビリテーション活動支援事業の推進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施策1-6　高齢者の保健事業と介護予防の一体的実施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基本目標2　安心で自分らしい生活支援の充実</w:t>
      </w:r>
    </w:p>
    <w:p>
      <w:pPr>
        <w:spacing w:after="120" w:line="300" w:lineRule="exact"/>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施策2-1　高齢者の移動に関する支援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施策2-2　社会参加の促進とインセンティブの検討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施策2-3　住まいの安定的な確保と生活困難者支援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有料老人ホーム・サービス付き高齢者向け住宅の情報を把握します。村内に該当する住まいはありませんが（2-5）、県が把握する区域ごとの入居定員総数の提供を受け、本村の被保険者が村外の住まいに入居している状況とあわせて確認します（資10）</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高齢者居住安定確保計画が会津地域の対策に挙げる住宅セーフティネット制度を活用した家賃・家賃債務保証料の補助および高齢者向け住宅への改修補助について、住宅担当部局と制度の活用の可否を確認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施策2-4　日常生活の安全確保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4-6(2)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施策2-5　地域支え合い活動の促進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地域・近所の見守り、声かけ」を必要と感じる方が10.4%あり、今後必要と感じる支援の第2位以下に入っています（2-10）。村単独事業として老人クラブの活動を支援していますが、会員数の推移は把握できていないため、村への照会のうえ記載します（4-6(2)）。生活支援コーディネーターと第2層協議体による体制の整備は施策4-5で扱います。本施策は、その体制の上で住民が行う支え合いの活動そのものを促すことを目的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住民による見守り・声かけの活動を支援します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老人クラブの活動を支援し、参加の機会を広げます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ボランティアネットワークの整備を促進します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第2層協議体が把握した地域の課題を、住民の活動に結びつけます（施策4-5）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施策2-6　冬期の生活支援（除雪）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今後必要と感じる支援の第1位は「除雪」で、要介護認定を受けている方でも同じ傾向にあります（2-10・2-11）。ひとり暮らし高齢者世帯等除雪サービス事業を実施していますが、第9期計画では「在宅生活の継続支援」の一部として扱われ、独立した施策としては位置づけられていませんでした。</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除雪の担い手の確保に取り組みます。福島県高齢者居住安定確保計画は、会津地域の対策として地域コミュニティ等による除雪等の支援および公営住宅等を活用した集住の促進を挙げています（1-4）</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基本目標3　質の高い介護サービスの充実</w:t>
      </w:r>
    </w:p>
    <w:p>
      <w:pPr>
        <w:spacing w:after="120" w:line="300" w:lineRule="exact"/>
      </w:pPr>
      <w:r>
        <w:rPr>
          <w:rFonts w:ascii="游ゴシック" w:cs="游ゴシック" w:eastAsia="游ゴシック" w:hAnsi="游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游ゴシック" w:cs="游ゴシック" w:eastAsia="游ゴシック" w:hAnsi="游ゴシック"/>
          <w:sz w:val="21"/>
          <w:szCs w:val="21"/>
        </w:rPr>
        <w:t xml:space="preserve">見込量は需要により置くことを原則とし、村内に事業所がないことを理由に減らすことはしません（5-4）。ただし地域密着型サービスと介護予防・日常生活支援総合事業の2つは、村の判断が供給の上限になります。施策3-2と施策1-2は、この2つについての村の判断を示すものです。</w:t>
      </w:r>
    </w:p>
    <w:p>
      <w:pPr>
        <w:spacing w:after="120" w:line="300" w:lineRule="exact"/>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施策3-1　居宅サービスの確保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-5）。訪問介護・訪問看護等の担い手の確保が課題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所サービスの送迎について、受入れの可能な範囲、冬期の積雪による負担、送迎を理由とする利用の断りの状況を把握します。送迎の可否は、村外の事業所に多くを依存する本村において供給の制約そのものとなります（施策2-6）</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貸与・住宅改修についてリハビリテーション専門職が関与する仕組みを継続します。令和6年4月から一部の福祉用具について貸与と販売の選択制が導入されており、利用者が説明を受けて選べているか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村内3か所（下の注記）</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値の「村内3か所」は、村内の介護サービス事業所7か所のうち、共生型サービスの対象となる種類のサービスを提供している訪問介護1か所・通所介護2か所を数えたものです（2-5）。障がい福祉サービスの事業所3か所（居宅介護・重度訪問介護・生活介護が各1か所）とは別に数えています。現状値の0か所は、令和8年5月までの村の公表資料に共生型サービスの指定および協議の記録が見当たらないことによるもので、村のご確認により改めます。既に障がい福祉と介護保険の双方を担っている事業所がある場合は、協議の相手が3か所より少なくなるため、事業所番号による名寄せの結果により目標値を見直します（資9）。</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施策3-2　地域密着型サービスの維持と定員の検討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3年半で132人から181人へ37.1%増えており（2-3）、グループホームの村内定員に対する到達率は令和8年度に96.3%で、計画期間は満床の見込みです（5-4(5)）。また認知症対応型通所介護は平成30年度を最後に実績がありません。地域密着型サービスは村の指定によりはじめて提供されるため、定員と類型の設定は村の判断によります（5-4(8)）。</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施策3-3　村外施設サービスの利用支援　【改称】</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-10）。第9期計画は施設の種類を列挙する記載でしたが、本計画では村外利用を前提とした支援策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施策3-4　短期入所サービスの確保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主な介護者が不安に感じる介護等（在宅介護実態調査 B票 問6）</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B票 問6</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施策3-5　介護給付の適正化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-8(5)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国保連の帳票を活用した点検の実施件数・実施率を上半期・下半期ごとに記録し、前年度の水準を下回らないようにします（6-4⑦）</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高齢者向け住まいに居住する受給者の給付実績を抽出した帳票が提供された時点で、村外の住まいを利用している方の給付の点検の手順を定めます（5-8(5)）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基本目標4　地域で支えあう仕組みづくり</w:t>
      </w:r>
    </w:p>
    <w:p>
      <w:pPr>
        <w:spacing w:after="120" w:line="300" w:lineRule="exact"/>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lineRule="exact"/>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施策4-1　地域包括支援センターの機能強化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3職種の配置は整っています（2-6）。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身体的拘束等の適正化について、事業者の委員会の開催、指針の整備、研修の実施の状況を把握し、やむを得ず行う場合の記録と検討の手順を確かめます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-4）</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福祉用具・補装具・住宅改修については、制度が移ることにより現に使っている用具が使えなくなることがないよう、移行の前に利用の状況を確かめます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保険へ移った方のうち新高額障害福祉サービス等給付費の要件を満たす方には、介護保険の利用者負担が償還されます。申請の窓口は介護保険の担当であるため、対象となる5種のサービス（訪問介護・通所介護・短期入所生活介護・地域密着型通所介護・小規模多機能型居宅介護）の利用を確かめて申請を案内します（資9）</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施策4-2　地域ケア会議の充実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施策4-3　在宅医療・介護連携の推進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-8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在宅医療と介護の提供体制の目指すべき姿</w:t>
      </w:r>
    </w:p>
    <w:p>
      <w:pPr>
        <w:spacing w:after="120" w:line="300" w:lineRule="exact"/>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なお介護保険法第117条第5項第2号は、同条第2項第1号から第3号まで（サービスの種類ごとの量の見込み・地域支援事業の量の見込み・中長期的な推計）を定めるに当たり、都道府県が定める区域ごとの、医療に関する専門的知識を有する者と介護サービス事業者・居宅における医療を提供する医療機関その他の関係者との連携の状況を勘案することを求めています（社会福祉法等の一部を改正する法律（令和8年法律第51号）による新設。令和9年4月1日施行）。本村が属する会津区域の連携の状況を県に確認のうえ、本節および5-4・資10の算定に反映します（5-12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目指す姿と現状の差から抽出した課題と対応策</w:t>
      </w:r>
    </w:p>
    <w:p>
      <w:pPr>
        <w:spacing w:after="120" w:line="300" w:lineRule="exact"/>
      </w:pPr>
      <w:r>
        <w:rPr>
          <w:rFonts w:ascii="游ゴシック" w:cs="游ゴシック" w:eastAsia="游ゴシック" w:hAnsi="游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施策4-4　認知症施策の推進　【継続・強化】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4-4）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8年4月末の181人へ3年半で37.1%増えています（2-3）。</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施策4-5　生活支援体制の整備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施策4-6　介護人材の確保と生産性向上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人材の確保・定着の取組は令和4年度に新たに得点しました。本村は令和4年2月に北塩原村介護職員キャリアアップ事業研修支援補助金交付要綱（令和4年訓令第2号）を定め、村内の居宅サービス事業所・地域密着型サービス事業所に就業する介護職員の資格取得を支援しています。対象は介護職員初任者研修（6万円以内）、介護職員実務者研修（15万円以内）、介護支援専門員実務研修（10万円以内）、介護福祉士国家試験受験のための学習（7万円以内）、介護福祉士国家試験実技免除のための介護技術講習（7万円以内）の5つで、職員1人につき各事業1回までです。この独自事業により、国の評価指標「介護人材の確保・定着の取組状況」のウ（市町村としての独自事業を実施している）を取得しています。一方、エ（イ又はウの取組の成果を公表している）は0点です。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北塩原村介護職員キャリアアップ事業研修支援補助金（令和4年訓令第2号）を継続し、毎年度の交付実績を本計画の進捗状況とあわせて公表します。国の評価指標のエ（取組の成果の公表）は、事業実績を村ホームページ等に掲載すれば取得でき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の会津地方介護福祉士養成貸付事業を周知します。会津地方に住所があり、卒業後に会津地方で介護職として働く意欲のある方に住居費を月額3万6千円以内または通学定期代の実費を貸し付けるもので、本村も対象地域です。会津地方の介護施設で3年以上従事すると返還が免除さ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福島県の介護福祉士修学資金等貸付事業（修学資金 月5万円以内、入学準備金・就職準備金 各20万円以内。復職資金・転職準備金を含む）も、復職や他分野からの転職を考えている村民に届くよう周知します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が第10期介護保険事業支援計画において行う介護人材の需給推計に協力します。国は、都道府県が人材推計ワークシートにより管内保険者の見込量等に基づいて令和22年度（2040年度）までの需給推計を行い、需要が供給を上回る場合には入職経路別（養成施設等・他分野・外国人介護人材）の供給数の目標を定めることとしています。本計画の見込量（5-4）と中長期的な推計（資10）はその算定の基礎になります。県から人材の供給の状況について照会があった場合は、村内の事業所の欠員・離職の状況をとりまとめて回答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職員等処遇改善加算の取得を支援します。加算は令和6年度に3加算が一本化され、賃金改善の計画と実績の報告が要件となりました。村内の事業所（訪問介護1・通所介護2・認知症対応型共同生活介護1）の取得区分を把握し、未取得または下位の区分にとどまる事業所には県の相談窓口および事務の手引きを案内します。加算は介護報酬の一部であり本計画の給付費に含まれますが（5-4）、取得の状況は担い手の定着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生産性の向上は、介護ロボット・情報通信技術の導入と、記録・会議・申し送りの見直しを手だてとします。導入そのものを成果とせず、職員の業務の時間と事故の件数・ケアの質を併せて確かめます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利用者およびその家族等による職員へのハラスメントについて、相談の窓口、複数人での訪問、村・地域包括支援センター・関係機関による支援の手順を事業者と共有します。職員の安全の確保は、必要なサービスを続けて提供できるかどうか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科学的介護情報システム（LIFE）への情報の提出と活用、口腔・栄養・リハビリテーションの専門職の連携について、事業者の取組の状況を把握し、県の研修等を案内します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質の高いサービスの提供の確保と、提供のための安定した経営基盤の確立の双方を図るため、福島県と連携して取り組みます。県が設置する協議会（介護サービス事業者・公共職業安定所・福祉人材センター・介護労働安定センター等により構成されるもの）の場を通じて、村内の事業所の欠員・離職・加算の取得・経営の状況を共有し、県の人材確保および経営支援の施策につなぎます。村の規模では単独で担える範囲が限られるため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文書負担軽減に係る取組を進めます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経営情報データベース（介護経営DB）の分析結果が公表された時点で、本村が利用しているサービスの経営の状況を把握する材料として用います（2-5）。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施策4-7　成年後見制度の利用促進　【継続・強化】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支援事業の実施要綱は、令和8年4月1日に新たに定められ（北塩原村成年後見制度利用支援事業実施要綱。訓令第6号）、助成の対象は市町村長申立てによる場合に限られておらず、生活保護を受給している方のほか、費用の負担が困難であると村長が認めた方、本人および同一世帯の方全員が住民税非課税である方も対象としています。国の評価指標が求める要綱の整備はすでに済んでおり、第10期は周知と運用に重点を置き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要綱は整備済（令和8年4月1日訓令第6号）</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次回の評価での得点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年後見制度利用支援事業という同じ名前の事業が、介護保険法第115条の45第3項第3号の地域支援事業（任意事業）と、障害者総合支援法第77条第1項第4号の地域生活支援事業の両方にあります。本計画が扱うのは前者で、対象は低所得の高齢者です。同時に策定している第8期障がい福祉計画が見込むのは後者であり、別の事業です。また上表の「成年後見制度の利用者数」は村全体の制度の利用者数であって、助成の件数（事業の量）ではありません。両計画の数を足し合わせると村全体の取組が実際より多く見えるため、別の事業であることを注記します（資9）。本計画の任意事業としての助成の実績は未受領です（5-5）。</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基本目標5　計画の推進と進捗管理【新設】</w:t>
      </w:r>
    </w:p>
    <w:p>
      <w:pPr>
        <w:spacing w:after="120" w:line="300" w:lineRule="exact"/>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高齢者福祉サービスの量の目標</w:t>
      </w:r>
    </w:p>
    <w:p>
      <w:pPr>
        <w:spacing w:after="120" w:line="300" w:lineRule="exact"/>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ここでいう「老人福祉事業」は、同条第1項が「老人居宅生活支援事業及び老人福祉施設による事業」と定める法律上の用語です。老人居宅生活支援事業は同法第5条の2第1項の6事業、老人福祉施設は同法第5条の3の7施設であり、量の目標はこの13区分について定めるものです。本村が独自に実施している高齢者福祉サービスは、この定義には含まれません。</w:t>
      </w:r>
    </w:p>
    <w:p>
      <w:pPr>
        <w:spacing w:after="120" w:line="300" w:lineRule="exact"/>
      </w:pPr>
      <w:r>
        <w:rPr>
          <w:rFonts w:ascii="游ゴシック" w:cs="游ゴシック" w:eastAsia="游ゴシック" w:hAnsi="游ゴシック"/>
          <w:sz w:val="21"/>
          <w:szCs w:val="21"/>
        </w:rPr>
        <w:t xml:space="preserve">そこで本節は、まず13区分の量の目標がどこにあるかを示し（下表）、村が設置する施設および措置による確保を(1)に、村が独自に実施しているサービスを(2)に掲げます。事業の範囲と内容は「北塩原村高齢者サービスの手引き（令和8年度版）」および北塩原村例規集によります。取組の内容は、対応する施策がある事業については基本目標2および基本目標4の各施策に記載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217"/>
        <w:gridCol w:w="3931"/>
        <w:gridCol w:w="1778"/>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老人福祉法上の区分</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量の目標の定め方</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所在</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老人居宅介護等事業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第5条の2第2項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訪問介護および第1号訪問事業の見込量による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5-4(1)・5-5(1)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第5条の2第3項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通所介護・地域密着型通所介護・認知症対応型通所介護および第1号通所事業の見込量による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5-4(1)(2)・5-5(1)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第5条の2第4項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第5条の2第5項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小規模多機能型居宅介護の見込量による。村内に事業所がなく見込みは0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認知症対応型老人共同生活援助事業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第5条の2第6項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複合型サービス福祉事業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第5条の2第7項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看護小規模多機能型居宅介護の見込量による。見込みは0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第20条の2の2</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村が条例により設置する施設。設置・運営の形態を確認のうえ定める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老人短期入所施設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第20条の3</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第20条の4</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第11条第1項第1号の措置の人数</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特別養護老人ホーム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第20条の5</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村内に設置がなく村外施設の利用により確保。必要利用定員総数は3-2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(1)・3-2・5-4(3)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軽費老人ホーム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第20条の6</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村外施設の利用の人数</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第20条の7</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村内に老人福祉センターとして設置された施設はない</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老人介護支援センター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第20条の7の2</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設置の状況を確認のうえ定める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老人福祉法第20条の8第4項は、老人居宅生活支援事業・老人デイサービスセンター・老人短期入所施設および特別養護老人ホームに係る量の目標を定めるに当たり、介護保険法第117条第2項第1号のサービスの種類ごとの量の見込みと第1号訪問事業・第1号通所事業の量の見込みを勘案しなければならないこととしています。本村はこれらの提供の大半が介護保険給付によるため、5-4および5-5の見込量をもって量の目標とします。また同条第5項により、養護老人ホーム・軽費老人ホーム・老人福祉センターおよび老人介護支援センターに係る目標には厚生労働大臣が定める参酌すべき標準があります。第10期の参酌標準の内容を確認のうえ、(1)の目標に反映します（5-12）。同条第6項が勘案することとしている障害のある高齢者の人数・障害の状況・養護の実態は、2-3（認定者の状況）・2-10（アンケート調査結果。介護予防・日常生活圏域ニーズ調査と在宅介護実態調査）により把握しています。</w:t>
      </w:r>
    </w:p>
    <w:p>
      <w:pPr>
        <w:keepNext/>
        <w:keepLines/>
        <w:spacing w:after="100" w:line="300" w:lineRule="exact"/>
      </w:pPr>
      <w:r>
        <w:rPr>
          <w:rFonts w:ascii="游ゴシック" w:cs="游ゴシック" w:eastAsia="游ゴシック" w:hAnsi="游ゴシック"/>
          <w:b/>
          <w:bCs/>
          <w:color w:val="2E75B6"/>
          <w:sz w:val="22"/>
          <w:szCs w:val="22"/>
        </w:rPr>
        <w:t xml:space="preserve">(1) 老人福祉施設および措置による確保</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655"/>
        <w:gridCol w:w="749"/>
        <w:gridCol w:w="468"/>
        <w:gridCol w:w="468"/>
        <w:gridCol w:w="468"/>
        <w:gridCol w:w="468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デイサービスセンター条例（平成17年条例第35号）により村が設置する施設。管理規則（平成17年規則第14号）およびデイサービス運営事業実施要綱（平成11年要綱第5号）が現に効力を有する。村内の通所介護は2か所（2-5）であり、うち1か所がこの施設にあたるかを含め、設置および運営の形態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老人短期入所施設</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介護保険の短期入所生活介護。5-4(1)）により確保する。やむを得ない事由による措置（第10条の4第1項第3号）は在宅老人及び在宅重度身体障害者短期入所（ショートステイ）運営事業実施要綱（平成10年要綱第1号）および手数料徴収条例（平成5年条例第10号）による。実施の状況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養護老人ホーム（措置）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老人福祉法第11条第1項第1号の措置。村外施設への措置により確保する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特別養護老人ホーム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村内に設置がなく、村外施設の利用により確保する。必要利用定員総数は3-2、見込量は5-4(3)に掲げている。やむを得ない事由による措置（第11条第1項第2号）の実績は把握していない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軽費老人ホーム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老人福祉センターとして設置された施設はない。北塩原村活性化センター設置及び管理に関する条例（平成24年条例第12号）が例規集の老人福祉の節に置かれているため、同センターが老人福祉センターに相当するか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老人介護支援センター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在宅介護支援センター条例（平成11年条例第5号）および同運営事業実施要綱（平成18年要綱第5号）が現に効力を有する。地域包括支援センターとの関係および現在の実施の状況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生活支援ハウス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老人福祉法第5条の3の老人福祉施設ではなく、村が条例により設置する施設（北塩原村生活支援ハウス条例 平成16年条例第4号・同運営事業実施要綱 平成16年訓令第1号）。村内施設の運営を継続する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編集注記：本表は北塩原村例規集（内容現在 令和8年6月26日）の第8類 厚生 第1章 社会福祉 第4節 老人福祉の32件と突き合わせて組んだものです。村は老人福祉法上の施設について、デイサービスセンター・在宅介護支援センター・生活支援ハウスの3つを条例により設置しています。一方、介護サービス情報公表システムにより確かめた村内の事業所は、通所介護2か所・訪問介護1か所・認知症対応型共同生活介護2か所・居宅介護支援2か所で、いずれも社会福祉法人または医療法人が運営しています（2-5）。条例により設置された施設が、現にどの事業所として運営されているか（指定管理・委託の別を含む）は村に確認します。例規が効力を有することと施設が現に運営されていることは別であるため、実績および目標は【要確認】としています。</w:t>
      </w:r>
    </w:p>
    <w:p>
      <w:pPr>
        <w:keepNext/>
        <w:keepLines/>
        <w:spacing w:after="100" w:line="300" w:lineRule="exact"/>
      </w:pPr>
      <w:r>
        <w:rPr>
          <w:rFonts w:ascii="游ゴシック" w:cs="游ゴシック" w:eastAsia="游ゴシック" w:hAnsi="游ゴシック"/>
          <w:b/>
          <w:bCs/>
          <w:color w:val="2E75B6"/>
          <w:sz w:val="22"/>
          <w:szCs w:val="22"/>
        </w:rPr>
        <w:t xml:space="preserve">(2) 村が実施する高齢者福祉サービス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現在の体制を維持する。認知症の方のご家族への支援とあわせて周知する（施策4-4）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要介護4以上で常時紙おむつ等を必要とする在宅の方への支給（月額4,000円。非課税世帯は5,000円）を継続する（施策4-4）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家族介護慰労金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家族介護慰労金支給要綱（平成13年要綱第1号）。要介護4・5に相当し過去1年間施設サービスを受けなかった方を在宅で介護している家族に月額12,000円を支給する。介護保険の任意事業（家族介護支援事業）にあたる。実施の状況を村に確認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住宅改修費の理由書作成（認定を受けていない方）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住宅改修費の申請書に添付する理由書作成事業実施要綱（平成18年要綱第4号）。村内の60歳以上の在宅高齢者のうち要介護・要支援の認定を受けていない方について、居宅介護支援事業者等が理由書を作成した場合に1件2,000円の手数料を交付する。実施の状況を村に確認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65歳以上の高齢者世帯等で固定電話をお持ちの方への無償貸与を継続する（施策2-4）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65歳以上の高齢者世帯等で未設置の場合の無償配布を継続する（施策2-4）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高齢者のみで居住する世帯への助成（上限10万円・補助率10/10）を継続する（施策2-4）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高齢者が参画する自主活動団体への活動費の助成を継続する。住民の支え合いの活動（施策2-5）との役割分担を整理する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高齢者の就労・雇用の機会の確保に取り組む。除雪・生活支援の担い手としての役割も担う（施策2-2・施策2-6）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老人日常生活用具給付等</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10条の4第2項の措置（日常生活上の便宜を図るための用具の給付又は貸与）。北塩原村老人日常生活用具給付等事業実施要綱（平成8年訓令第6号）による。火災警報器の配布がこの要綱によるものかを含め、対象品目と実績を村に確認する（5-12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ホームヘルパーの派遣（やむを得ない事由による措置）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10条の4第1項第1号の措置。北塩原村ホームヘルパー派遣手数料条例（平成3年条例第8号）・同施行規則（平成3年規則第5号）・登録ヘルパー事務処理要領（平成11年要領第1号）・ホームヘルプサービスチーム運営方式実施要綱（平成11年要綱第6号）が現に効力を有する。介護保険の訪問介護とは別のものであり、実施の状況を村に確認する（5-12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ボランティアネットワークの整備とあわせて活動を支援する（施策2-5）。地区の課題の把握は第2層協議体による（施策4-5）</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の事業のうち、老人日常生活用具給付等とホームヘルパーの派遣は老人福祉法第10条の4の措置であり、同法第20条の8第1項が定義する「老人福祉事業」には含まれません。村が現に行う事業として掲げるものです。その他の事業は村が独自に実施しているものであり、同様に法律上の「老人福祉事業」ではありません。根拠となる例規は、寝具洗濯サービスが寝たきり老人等寝具丸洗い事業実施要綱（平成14年告示第19号）、訪問理美容サービスが訪問理美容サービス事業実施要綱（平成15年訓令第1号）、除雪支援がひとり暮らし高齢者世帯等除雪サービス事業実施要綱（平成12年要綱第10号）、健康長寿祝金が健康長寿祝金条例（令和6年条例第9号）および同条例施行規則（令和6年規則第13号）です。事業の名称は「北塩原村高齢者サービスの手引き」の呼び方によっており、例規上の名称と一致しない場合があります（寝具洗濯サービスは例規上「寝具丸洗い」）。なりすまし詐欺抑止装置の貸与・長寿を祝う会・防犯カメラ等の設置助成・地域・健康づくり活動活性化助成金の4事業は、北塩原村例規集（内容現在 令和8年6月26日）の全70分野・569件を当たりましたが、根拠となる例規が見あたりません。本村は補助金の交付要綱を例規集に登載する運用であり（骨髄移植ドナー支援事業助成金交付要綱ほか）、また「北塩原村　事業補助金等の交付等に関する要綱（標準）」を置いていることから、標準の要綱と予算措置により実施している可能性があります。実施の根拠を村に確認します（5-12）。</w:t>
      </w:r>
    </w:p>
    <w:p>
      <w:pPr>
        <w:spacing w:after="120" w:line="300" w:lineRule="exact"/>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は本計画で新たに定めたものです。第9期計画には老人福祉事業の量の目標にあたる記載がなく（本編123頁の全文に「老人福祉事業」の語が現れません）、揃える先がない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の事業のうち、寝具洗濯サービス・訪問理美容サービス・長寿を祝う会・健康長寿祝金・地域・健康づくり活動活性化助成金の5事業は、第4章の施策体系に対応する施策を置いていません。本節に量を掲げたうえで、施策体系上の位置づけを村と協議して定めます。帯状疱疹予防接種は予防接種法に基づく定期の予防接種であり、本節には掲げていません。帯状疱疹は同法第2条第3項第3号のＢ類疾病として予防接種法施行令第2条に掲げられ、市町村長が行う定期の予防接種の対象は同令第3条第1項の表により65歳の方とされています。ただし同令の経過措置により、令和8年4月1日から令和12年3月31日までの間は65歳・70歳・75歳・80歳・85歳・90歳・95歳・100歳となる年度にある方が対象です。第10期（令和9年度から令和11年度まで）の全期間がこの経過措置の期間にあたり、令和12年度からは65歳の方のみとなります。対象者数が大きく変わるため、保健事業と介護予防の一体的実施（施策1-6）において周知の方法を整理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ひとり暮らし高齢者弁当配達サービスは、赤十字奉仕団により年4回を予定するものです。介護予防・日常生活支援総合事業の配食（多様なサービス）は、直近の決算である令和5年度において実施の実績がありません（2-6）。毎日の食事の確保という課題に対しては年4回では足りないため、総合事業による配食の創設を施策1-2で検討します。両者は別の事業であり、量の目標は前者について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4-7　認知症施策推進計画としての位置づけ</w:t>
      </w:r>
    </w:p>
    <w:p>
      <w:pPr>
        <w:spacing w:after="120" w:line="300" w:lineRule="exact"/>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游ゴシック" w:cs="游ゴシック" w:eastAsia="游ゴシック" w:hAnsi="游ゴシック"/>
          <w:b/>
          <w:bCs/>
          <w:color w:val="2E75B6"/>
          <w:sz w:val="22"/>
          <w:szCs w:val="22"/>
        </w:rPr>
        <w:t xml:space="preserve">(1) 法が市町村に求めていること</w:t>
      </w:r>
    </w:p>
    <w:p>
      <w:pPr>
        <w:spacing w:after="120" w:line="300" w:lineRule="exact"/>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(5)(6)のとおり</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lineRule="exact"/>
      </w:pPr>
      <w:r>
        <w:rPr>
          <w:rFonts w:ascii="游ゴシック" w:cs="游ゴシック" w:eastAsia="游ゴシック" w:hAnsi="游ゴシック"/>
          <w:b/>
          <w:bCs/>
          <w:color w:val="2E75B6"/>
          <w:sz w:val="22"/>
          <w:szCs w:val="22"/>
        </w:rPr>
        <w:t xml:space="preserve">(2) 3つの基本的な考え方</w:t>
      </w:r>
    </w:p>
    <w:p>
      <w:pPr>
        <w:spacing w:after="120" w:line="300" w:lineRule="exact"/>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lineRule="exact"/>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lineRule="exact"/>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施策2-1（移動）・施策2-4（見守り）・施策4-4</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施策2-2（社会参加）・施策4-4（チームオレンジ）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施策4-7（成年後見）・施策2-4（消費者被害の防止）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lineRule="exact"/>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-3）、この方々に若年性認知症の方が含まれるかどうか、また障がい福祉サービス・精神保健の支援を受けているかどうかを、障がい福祉担当との間で確かめます（1-4）。就労の継続は障害者総合支援法の就労系サービスが受け皿となる場合があるため、制度をまたいだ確認が要ります。</w:t>
      </w:r>
    </w:p>
    <w:p>
      <w:pPr>
        <w:spacing w:after="120" w:line="300" w:lineRule="exact"/>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(4) 認知症の日および認知症月間</w:t>
      </w:r>
    </w:p>
    <w:p>
      <w:pPr>
        <w:spacing w:after="120" w:line="300" w:lineRule="exact"/>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游ゴシック" w:cs="游ゴシック" w:eastAsia="游ゴシック" w:hAnsi="游ゴシック"/>
          <w:sz w:val="21"/>
          <w:szCs w:val="21"/>
        </w:rPr>
        <w:t xml:space="preserve">本村では、認知症の日および認知症月間に合わせた取組を行っていません。普及啓発（施策4-4）を進める機会として、9月の取組を計画に位置づけます。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(5) 認知症の人および家族等の参画</w:t>
      </w:r>
    </w:p>
    <w:p>
      <w:pPr>
        <w:spacing w:after="120" w:line="300" w:lineRule="exact"/>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変更のつど</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lineRule="exact"/>
      </w:pPr>
      <w:r>
        <w:rPr>
          <w:rFonts w:ascii="游ゴシック" w:cs="游ゴシック" w:eastAsia="游ゴシック" w:hAnsi="游ゴシック"/>
          <w:b/>
          <w:bCs/>
          <w:color w:val="2E75B6"/>
          <w:sz w:val="22"/>
          <w:szCs w:val="22"/>
        </w:rPr>
        <w:t xml:space="preserve">(6) 施策の実施状況の評価と公表</w:t>
      </w:r>
    </w:p>
    <w:p>
      <w:pPr>
        <w:spacing w:after="120" w:line="300" w:lineRule="exact"/>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181人（令和8年4月末）。3年半で37.1%増</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国の評価指標における認知症総合支援（支援交付金 目標Ⅱ）は32点／100点で、8つの目標のうち全国平均との差が最も大きい領域です（2-8・4-4）。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推計の考え方</w:t>
      </w:r>
    </w:p>
    <w:p>
      <w:pPr>
        <w:spacing w:after="120" w:line="300" w:lineRule="exact"/>
      </w:pPr>
      <w:r>
        <w:rPr>
          <w:rFonts w:ascii="游ゴシック" w:cs="游ゴシック" w:eastAsia="游ゴシック" w:hAnsi="游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keepNext/>
        <w:keepLines/>
        <w:spacing w:after="100" w:line="300" w:lineRule="exact"/>
      </w:pPr>
      <w:r>
        <w:rPr>
          <w:rFonts w:ascii="游ゴシック" w:cs="游ゴシック" w:eastAsia="游ゴシック" w:hAnsi="游ゴシック"/>
          <w:b/>
          <w:bCs/>
          <w:color w:val="2E75B6"/>
          <w:sz w:val="22"/>
          <w:szCs w:val="22"/>
        </w:rPr>
        <w:t xml:space="preserve">用いる人口の系列</w:t>
      </w:r>
    </w:p>
    <w:p>
      <w:pPr>
        <w:spacing w:after="120" w:line="300" w:lineRule="exact"/>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ただし、第9期計画の乖離は系列の違いによるものではありません。第9期計画は「福島県内の市町村においては、全国と同様の方法による人口推計がなされていない」ため「住民基本台帳をもとにした福島県による将来推計人口」を用いたと述べており（第9期計画 本編40頁）、その65歳以上人口（令和7年950人）をそのまま第1号被保険者数の計画値としています。住民基本台帳をもとにした推計であっても、実績を6.9%下回りました（2-9）。第10期に配布された推計用人口も実績を5.8%下回っており、同じ向きの差が続いています。したがって本計画が行う置き直しは、基礎とする台帳の取り違えを直すものではなく、推計の水準と直近の実績との差を直すもので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第1号被保険者数（第9期からの変更点）</w:t>
      </w:r>
    </w:p>
    <w:p>
      <w:pPr>
        <w:spacing w:after="120" w:line="300" w:lineRule="exact"/>
      </w:pPr>
      <w:r>
        <w:rPr>
          <w:rFonts w:ascii="游ゴシック" w:cs="游ゴシック" w:eastAsia="游ゴシック" w:hAnsi="游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游ゴシック" w:cs="游ゴシック" w:eastAsia="游ゴシック" w:hAnsi="游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游ゴシック" w:cs="游ゴシック" w:eastAsia="游ゴシック" w:hAnsi="游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keepNext/>
        <w:keepLines/>
        <w:spacing w:after="100" w:line="300" w:lineRule="exact"/>
      </w:pPr>
      <w:r>
        <w:rPr>
          <w:rFonts w:ascii="游ゴシック" w:cs="游ゴシック" w:eastAsia="游ゴシック" w:hAnsi="游ゴシック"/>
          <w:b/>
          <w:bCs/>
          <w:color w:val="2E75B6"/>
          <w:sz w:val="22"/>
          <w:szCs w:val="22"/>
        </w:rPr>
        <w:t xml:space="preserve">参考　国勢調査ベースの推計による算定</w:t>
      </w:r>
    </w:p>
    <w:p>
      <w:pPr>
        <w:spacing w:after="120" w:line="300" w:lineRule="exact"/>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1.0716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w:t>
      </w:r>
    </w:p>
    <w:p>
      <w:pPr>
        <w:spacing w:after="120" w:line="300" w:lineRule="exact"/>
      </w:pPr>
      <w:r>
        <w:rPr>
          <w:rFonts w:ascii="游ゴシック" w:cs="游ゴシック" w:eastAsia="游ゴシック" w:hAnsi="游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-3に併記します。3か年計で22人（3.4%）の差があり、原因は認定率の置き方です（5-3）。第9期計画では合計での検証のみであったため、要支援1が36%過少、要介護4が39%過大という乖離が生じても把握できませんでした（2-9）。本計画では要介護度別に算定し、毎年度検証します。</w:t>
      </w:r>
    </w:p>
    <w:p>
      <w:pPr>
        <w:keepNext/>
        <w:keepLines/>
        <w:spacing w:after="100" w:line="300" w:lineRule="exact"/>
      </w:pPr>
      <w:r>
        <w:rPr>
          <w:rFonts w:ascii="游ゴシック" w:cs="游ゴシック" w:eastAsia="游ゴシック" w:hAnsi="游ゴシック"/>
          <w:b/>
          <w:bCs/>
          <w:color w:val="2E75B6"/>
          <w:sz w:val="22"/>
          <w:szCs w:val="22"/>
        </w:rPr>
        <w:t xml:space="preserve">サービス見込量・給付費</w:t>
      </w:r>
    </w:p>
    <w:p>
      <w:pPr>
        <w:spacing w:after="120" w:line="300" w:lineRule="exact"/>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出力は令和8年10月に提供を受けました。以下5-2から5-7は、その値を正として記載しています。ただし本村から、福祉用具購入費・住宅改修費および令和9年4月に新設されるサービスが0で入っていること、全体として暫定の数値であることの申し送りを受けています。該当する項目は5-12に一覧化し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第1号被保険者数の見込み</w:t>
      </w:r>
    </w:p>
    <w:p>
      <w:pPr>
        <w:spacing w:after="120" w:line="300" w:lineRule="exact"/>
      </w:pPr>
      <w:r>
        <w:rPr>
          <w:rFonts w:ascii="游ゴシック" w:cs="游ゴシック" w:eastAsia="游ゴシック" w:hAnsi="游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1,009</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游ゴシック" w:cs="游ゴシック" w:eastAsia="游ゴシック" w:hAnsi="游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-3）。</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推計の検証　当方の算定との突合</w:t>
      </w:r>
    </w:p>
    <w:p>
      <w:pPr>
        <w:spacing w:after="120" w:line="300" w:lineRule="exact"/>
      </w:pPr>
      <w:r>
        <w:rPr>
          <w:rFonts w:ascii="游ゴシック" w:cs="游ゴシック" w:eastAsia="游ゴシック" w:hAnsi="游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要支援・要介護認定者数の見込み</w:t>
      </w:r>
    </w:p>
    <w:p>
      <w:pPr>
        <w:spacing w:after="120" w:line="300" w:lineRule="exact"/>
      </w:pPr>
      <w:r>
        <w:rPr>
          <w:rFonts w:ascii="游ゴシック" w:cs="游ゴシック" w:eastAsia="游ゴシック" w:hAnsi="游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游ゴシック" w:cs="游ゴシック" w:eastAsia="游ゴシック" w:hAnsi="游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游ゴシック" w:cs="游ゴシック" w:eastAsia="游ゴシック" w:hAnsi="游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-2・施策3-1）。</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keepNext/>
        <w:keepLines/>
        <w:spacing w:after="100" w:line="300" w:lineRule="exact"/>
      </w:pPr>
      <w:r>
        <w:rPr>
          <w:rFonts w:ascii="游ゴシック" w:cs="游ゴシック" w:eastAsia="游ゴシック" w:hAnsi="游ゴシック"/>
          <w:b/>
          <w:bCs/>
          <w:color w:val="2E75B6"/>
          <w:sz w:val="22"/>
          <w:szCs w:val="22"/>
        </w:rPr>
        <w:t xml:space="preserve">推計の検証　当方の算定との突合</w:t>
      </w:r>
    </w:p>
    <w:p>
      <w:pPr>
        <w:spacing w:after="120" w:line="300" w:lineRule="exact"/>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②の保険料への効きは、認定者数が＋3.5%の上振れであれば給付費もおおむね同じ割合で上振れすると置き、5-7の感応度（給付費1%の上振れが月額59円）により換算したものです。</w:t>
      </w:r>
    </w:p>
    <w:p>
      <w:pPr>
        <w:spacing w:after="120" w:line="300" w:lineRule="exact"/>
      </w:pPr>
      <w:r>
        <w:rPr>
          <w:rFonts w:ascii="游ゴシック" w:cs="游ゴシック" w:eastAsia="游ゴシック" w:hAnsi="游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認定者数は以降のサービス見込量・給付費・保険料のすべての基礎になるため、差が生じた場合は要介護度別に原因を特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介護サービス見込量</w:t>
      </w:r>
    </w:p>
    <w:p>
      <w:pPr>
        <w:spacing w:after="120" w:line="300" w:lineRule="exact"/>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keepNext/>
        <w:keepLines/>
        <w:spacing w:after="100" w:line="300" w:lineRule="exact"/>
      </w:pPr>
      <w:r>
        <w:rPr>
          <w:rFonts w:ascii="游ゴシック" w:cs="游ゴシック" w:eastAsia="游ゴシック" w:hAnsi="游ゴシック"/>
          <w:b/>
          <w:bCs/>
          <w:color w:val="2E75B6"/>
          <w:sz w:val="22"/>
          <w:szCs w:val="22"/>
        </w:rPr>
        <w:t xml:space="preserve">基準年度とデータの月数</w:t>
      </w:r>
    </w:p>
    <w:p>
      <w:pPr>
        <w:spacing w:after="120" w:line="300" w:lineRule="exact"/>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15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keepNext/>
        <w:keepLines/>
        <w:spacing w:after="100" w:line="300" w:lineRule="exact"/>
      </w:pPr>
      <w:r>
        <w:rPr>
          <w:rFonts w:ascii="游ゴシック" w:cs="游ゴシック" w:eastAsia="游ゴシック" w:hAnsi="游ゴシック"/>
          <w:b/>
          <w:bCs/>
          <w:color w:val="2E75B6"/>
          <w:sz w:val="22"/>
          <w:szCs w:val="22"/>
        </w:rPr>
        <w:t xml:space="preserve">利用率の分母</w:t>
      </w:r>
    </w:p>
    <w:p>
      <w:pPr>
        <w:spacing w:after="120" w:line="300" w:lineRule="exact"/>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令和8年10月7日に受領した将来推計総括表を確かめたところ、受給率については「在宅サービス受給率＝在宅サービス利用者数÷第1号被保険者数」と補足されていますが、これは総括表のグラフに用いる受給率の定義であり、推計に用いる利用率の分母は示されていません。総括表から利用者数を復元して4つの分母の候補で利用率を出しても、推計がサービス別・要介護度別に行われているため合算の利用率は要介護度の構成で動き、分母を特定できません。推計ワークシート本体を受領した時点で分母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算定の対象とするサービス</w:t>
      </w:r>
    </w:p>
    <w:p>
      <w:pPr>
        <w:spacing w:after="120" w:line="300" w:lineRule="exact"/>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なお療養通所介護は、平成28年4月に地域密着型サービスへ移行した地域密着型通所介護の一類型であり、国の将来推計の様式でも区分されていないため、本計画でも地域密着型通所介護に含めて数え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(1) 居宅サービス</w:t>
      </w:r>
    </w:p>
    <w:p>
      <w:pPr>
        <w:spacing w:after="120" w:line="300" w:lineRule="exact"/>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keepNext/>
        <w:keepLines/>
        <w:spacing w:after="100" w:line="300" w:lineRule="exact"/>
      </w:pPr>
      <w:r>
        <w:rPr>
          <w:rFonts w:ascii="游ゴシック" w:cs="游ゴシック" w:eastAsia="游ゴシック" w:hAnsi="游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令和5年度から令和7年度まで実績がないため、統合による見込量への影響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游ゴシック" w:cs="游ゴシック" w:eastAsia="游ゴシック" w:hAnsi="游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-4(5)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施設種類別の人数は、村が県に提出した整備量見込みシートの値に置き換えました。それまでは「見える化」システムに系列がないため区分別の受給者数を給付費の構成比で按分した参考値を用いていました。按分の値（令和6年度 介護老人福祉施設14.1人・介護老人保健施設15.9人・介護医療院1.2人）は県シートの値（15人・16人・1人）と四捨五入の範囲で一致しており、按分の方法は妥当でした。</w:t>
      </w:r>
    </w:p>
    <w:p>
      <w:pPr>
        <w:spacing w:after="120" w:line="300" w:lineRule="exact"/>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(4) 令和9年4月に新設される区分</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keepNext/>
        <w:keepLines/>
        <w:spacing w:after="100" w:line="300" w:lineRule="exact"/>
      </w:pPr>
      <w:r>
        <w:rPr>
          <w:rFonts w:ascii="游ゴシック" w:cs="游ゴシック" w:eastAsia="游ゴシック" w:hAnsi="游ゴシック"/>
          <w:b/>
          <w:bCs/>
          <w:color w:val="2E75B6"/>
          <w:sz w:val="22"/>
          <w:szCs w:val="22"/>
        </w:rPr>
        <w:t xml:space="preserve">(5) 供給の制約</w:t>
      </w:r>
    </w:p>
    <w:p>
      <w:pPr>
        <w:spacing w:after="120" w:line="300" w:lineRule="exact"/>
      </w:pPr>
      <w:r>
        <w:rPr>
          <w:rFonts w:ascii="游ゴシック" w:cs="游ゴシック" w:eastAsia="游ゴシック" w:hAnsi="游ゴシック"/>
          <w:sz w:val="21"/>
          <w:szCs w:val="21"/>
        </w:rPr>
        <w:t xml:space="preserve">村内で定員が定められているサービスは、認知症対応型共同生活介護（定員27人）と通所介護（定員50人）の2種類です（2-5）。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游ゴシック" w:cs="游ゴシック" w:eastAsia="游ゴシック" w:hAnsi="游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-4(8)・施策3-2）。</w:t>
      </w:r>
    </w:p>
    <w:p>
      <w:pPr>
        <w:spacing w:after="120" w:line="300" w:lineRule="exact"/>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keepNext/>
        <w:keepLines/>
        <w:spacing w:after="100" w:line="300" w:lineRule="exact"/>
      </w:pPr>
      <w:r>
        <w:rPr>
          <w:rFonts w:ascii="游ゴシック" w:cs="游ゴシック" w:eastAsia="游ゴシック" w:hAnsi="游ゴシック"/>
          <w:b/>
          <w:bCs/>
          <w:color w:val="2E75B6"/>
          <w:sz w:val="22"/>
          <w:szCs w:val="22"/>
        </w:rPr>
        <w:t xml:space="preserve">(6) 見込量の自己点検</w:t>
      </w:r>
    </w:p>
    <w:p>
      <w:pPr>
        <w:spacing w:after="120" w:line="300" w:lineRule="exact"/>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lineRule="exact"/>
      </w:pPr>
      <w:r>
        <w:rPr>
          <w:rFonts w:ascii="游ゴシック" w:cs="游ゴシック" w:eastAsia="游ゴシック" w:hAnsi="游ゴシック"/>
          <w:sz w:val="21"/>
          <w:szCs w:val="21"/>
        </w:rPr>
        <w:t xml:space="preserve">　閾値　＝　Q1 － 2×（Q3－Q1）　から　Q3 ＋ 2×（Q3－Q1）　まで</w:t>
      </w:r>
    </w:p>
    <w:p>
      <w:pPr>
        <w:spacing w:after="120" w:line="300" w:lineRule="exact"/>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keepNext/>
        <w:keepLines/>
        <w:spacing w:after="100" w:line="300" w:lineRule="exact"/>
      </w:pPr>
      <w:r>
        <w:rPr>
          <w:rFonts w:ascii="游ゴシック" w:cs="游ゴシック" w:eastAsia="游ゴシック" w:hAnsi="游ゴシック"/>
          <w:b/>
          <w:bCs/>
          <w:color w:val="2E75B6"/>
          <w:sz w:val="22"/>
          <w:szCs w:val="22"/>
        </w:rPr>
        <w:t xml:space="preserve">(7) 介護給付と予防給付の区分</w:t>
      </w:r>
    </w:p>
    <w:p>
      <w:pPr>
        <w:spacing w:after="120" w:line="300" w:lineRule="exact"/>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keepNext/>
        <w:keepLines/>
        <w:spacing w:after="100" w:line="300" w:lineRule="exact"/>
      </w:pPr>
      <w:r>
        <w:rPr>
          <w:rFonts w:ascii="游ゴシック" w:cs="游ゴシック" w:eastAsia="游ゴシック" w:hAnsi="游ゴシック"/>
          <w:b/>
          <w:bCs/>
          <w:color w:val="2E75B6"/>
          <w:sz w:val="22"/>
          <w:szCs w:val="22"/>
        </w:rPr>
        <w:t xml:space="preserve">(8) 地域密着型サービスの必要利用定員総数</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lineRule="exact"/>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8年4月末の181人へ3年半で37.1%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591"/>
        <w:gridCol w:w="1591"/>
        <w:gridCol w:w="1498"/>
        <w:gridCol w:w="149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令和8年4月末</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0.178人分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0.205人分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0.168人分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0.149人分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高齢者1人あたりの定員は直近の令和8年4月末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keepNext/>
        <w:keepLines/>
        <w:spacing w:after="100" w:line="300" w:lineRule="exact"/>
      </w:pPr>
      <w:r>
        <w:rPr>
          <w:rFonts w:ascii="游ゴシック" w:cs="游ゴシック" w:eastAsia="游ゴシック" w:hAnsi="游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keepNext/>
        <w:keepLines/>
        <w:spacing w:after="100" w:line="300" w:lineRule="exact"/>
      </w:pPr>
      <w:r>
        <w:rPr>
          <w:rFonts w:ascii="游ゴシック" w:cs="游ゴシック" w:eastAsia="游ゴシック" w:hAnsi="游ゴシック"/>
          <w:b/>
          <w:bCs/>
          <w:color w:val="2E75B6"/>
          <w:sz w:val="22"/>
          <w:szCs w:val="22"/>
        </w:rPr>
        <w:t xml:space="preserve">(10) 推計の不確かさ</w:t>
      </w:r>
    </w:p>
    <w:p>
      <w:pPr>
        <w:spacing w:after="120" w:line="300" w:lineRule="exact"/>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keepNext/>
        <w:keepLines/>
        <w:spacing w:after="100" w:line="300" w:lineRule="exact"/>
      </w:pPr>
      <w:r>
        <w:rPr>
          <w:rFonts w:ascii="游ゴシック" w:cs="游ゴシック" w:eastAsia="游ゴシック" w:hAnsi="游ゴシック"/>
          <w:b/>
          <w:bCs/>
          <w:color w:val="2E75B6"/>
          <w:sz w:val="22"/>
          <w:szCs w:val="22"/>
        </w:rPr>
        <w:t xml:space="preserve">① 単価の趨勢</w:t>
      </w:r>
    </w:p>
    <w:p>
      <w:pPr>
        <w:spacing w:after="120" w:line="300" w:lineRule="exact"/>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spacing w:after="120" w:line="300" w:lineRule="exact"/>
      </w:pPr>
      <w:r>
        <w:rPr>
          <w:rFonts w:ascii="游ゴシック" w:cs="游ゴシック" w:eastAsia="游ゴシック" w:hAnsi="游ゴシック"/>
          <w:sz w:val="21"/>
          <w:szCs w:val="21"/>
        </w:rPr>
        <w:t xml:space="preserve">単価のもう一つの前提が介護報酬の地域区分です。1単位あたりの単価は地域区分（級地）により定められます。本村は「その他」の地域に当たり、上乗せ割合は0%です。令和6年度から令和8年度までの地域区分の適用地域に福島県の市町村は含まれておらず、県内はすべて「その他」です。本計画の単価は本村の給付費の実績から算出しているため、この区分が織り込まれています。</w:t>
      </w:r>
    </w:p>
    <w:p>
      <w:pPr>
        <w:spacing w:after="120" w:line="300" w:lineRule="exact"/>
      </w:pPr>
      <w:r>
        <w:rPr>
          <w:rFonts w:ascii="游ゴシック" w:cs="游ゴシック" w:eastAsia="游ゴシック" w:hAnsi="游ゴシック"/>
          <w:sz w:val="21"/>
          <w:szCs w:val="21"/>
        </w:rPr>
        <w:t xml:space="preserve">令和9年度の改定では、地域区分の枠組みそのものが見直される見通しです。地域区分は公務員の地域手当に準拠して定めることを原則としており、令和6年人事院勧告により国家公務員の地域手当が市町村単位から都道府県単位を基本とする形に広げられ、区分の段階も7区分から5区分に改められました。地方公務員についても同様の見直しが行われています。ただし、見直し後の支給地域にも福島県は含まれておらず（1級地20%から5級地4%までのいずれにも該当しません）、本村の上乗せ割合は0%のままと見込まれます。このため、地域区分の見直しによる単価の変動は本計画では見込んで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出典：社会保障審議会介護給付費分科会（第262回・令和8年8月5日）資料3「地域区分」。同資料は、地域区分の適用地域（令和6〜8年度）と、令和6年人事院勧告および総務副大臣通知「地方公務員の給与改定等に関する取扱いについて」（令和6年11月29日）で示された見直し後の支給地域を掲げています。いずれの表にも福島県の記載はありません。なお、隣接する地域との級地差による特例が設けられていますが、本村が接する地域にも級地の設定がないため、特例による引上げの対象にもなりません。令和9年度改定における地域区分の取扱いは、同分科会で引き続き審議されています（1-8の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keepNext/>
        <w:keepLines/>
        <w:spacing w:after="100" w:line="300" w:lineRule="exact"/>
      </w:pPr>
      <w:r>
        <w:rPr>
          <w:rFonts w:ascii="游ゴシック" w:cs="游ゴシック" w:eastAsia="游ゴシック" w:hAnsi="游ゴシック"/>
          <w:b/>
          <w:bCs/>
          <w:color w:val="2E75B6"/>
          <w:sz w:val="22"/>
          <w:szCs w:val="22"/>
        </w:rPr>
        <w:t xml:space="preserve">② サービス別の伸びの偏り</w:t>
      </w:r>
    </w:p>
    <w:p>
      <w:pPr>
        <w:spacing w:after="120" w:line="300" w:lineRule="exact"/>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最大</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keepNext/>
        <w:keepLines/>
        <w:spacing w:after="100" w:line="300" w:lineRule="exact"/>
      </w:pPr>
      <w:r>
        <w:rPr>
          <w:rFonts w:ascii="游ゴシック" w:cs="游ゴシック" w:eastAsia="游ゴシック" w:hAnsi="游ゴシック"/>
          <w:b/>
          <w:bCs/>
          <w:color w:val="2E75B6"/>
          <w:sz w:val="22"/>
          <w:szCs w:val="22"/>
        </w:rPr>
        <w:t xml:space="preserve">③ 推計そのものの誤差</w:t>
      </w:r>
    </w:p>
    <w:p>
      <w:pPr>
        <w:spacing w:after="120" w:line="300" w:lineRule="exact"/>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keepNext/>
        <w:keepLines/>
        <w:spacing w:after="100" w:line="300" w:lineRule="exact"/>
      </w:pPr>
      <w:r>
        <w:rPr>
          <w:rFonts w:ascii="游ゴシック" w:cs="游ゴシック" w:eastAsia="游ゴシック" w:hAnsi="游ゴシック"/>
          <w:b/>
          <w:bCs/>
          <w:color w:val="2E75B6"/>
          <w:sz w:val="22"/>
          <w:szCs w:val="22"/>
        </w:rPr>
        <w:t xml:space="preserve">参考　受給者1人あたり利用日数・回数の実績</w:t>
      </w:r>
    </w:p>
    <w:p>
      <w:pPr>
        <w:spacing w:after="120" w:line="300" w:lineRule="exact"/>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keepNext/>
        <w:keepLines/>
        <w:spacing w:after="100" w:line="300" w:lineRule="exact"/>
      </w:pPr>
      <w:r>
        <w:rPr>
          <w:rFonts w:ascii="游ゴシック" w:cs="游ゴシック" w:eastAsia="游ゴシック" w:hAnsi="游ゴシック"/>
          <w:b/>
          <w:bCs/>
          <w:color w:val="2E75B6"/>
          <w:sz w:val="22"/>
          <w:szCs w:val="22"/>
        </w:rPr>
        <w:t xml:space="preserve">(11) 施策の見込量への反映</w:t>
      </w:r>
    </w:p>
    <w:p>
      <w:pPr>
        <w:spacing w:after="120" w:line="300" w:lineRule="exact"/>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織り込んでいない。受給率は令和5〜7年度の3か年平均を固定。総合事業の訪問型A〜D・通所型A〜Cは令和5年度の決算で事業費の計上がないため0（5-5）</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keepNext/>
        <w:keepLines/>
        <w:spacing w:after="100" w:line="300" w:lineRule="exact"/>
      </w:pPr>
      <w:r>
        <w:rPr>
          <w:rFonts w:ascii="游ゴシック" w:cs="游ゴシック" w:eastAsia="游ゴシック" w:hAnsi="游ゴシック"/>
          <w:b/>
          <w:bCs/>
          <w:color w:val="2E75B6"/>
          <w:sz w:val="22"/>
          <w:szCs w:val="22"/>
        </w:rPr>
        <w:t xml:space="preserve">(12) 需要に対する供給（担い手の枠）</w:t>
      </w:r>
    </w:p>
    <w:p>
      <w:pPr>
        <w:spacing w:after="120" w:line="300" w:lineRule="exact"/>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895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lineRule="exact"/>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154.2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4.99人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keepNext/>
        <w:keepLines/>
        <w:spacing w:after="100" w:line="300" w:lineRule="exact"/>
      </w:pPr>
      <w:r>
        <w:rPr>
          <w:rFonts w:ascii="游ゴシック" w:cs="游ゴシック" w:eastAsia="游ゴシック" w:hAnsi="游ゴシック"/>
          <w:b/>
          <w:bCs/>
          <w:color w:val="2E75B6"/>
          <w:sz w:val="22"/>
          <w:szCs w:val="22"/>
        </w:rPr>
        <w:t xml:space="preserve">(13) 真に入所が必要と判断される被保険者の把握</w:t>
      </w:r>
    </w:p>
    <w:p>
      <w:pPr>
        <w:spacing w:after="120" w:line="300" w:lineRule="exact"/>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27人分の定員の変更を判断する材料（5-4(8)・施策3-2）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keepNext/>
        <w:keepLines/>
        <w:spacing w:after="100" w:line="300" w:lineRule="exact"/>
      </w:pPr>
      <w:r>
        <w:rPr>
          <w:rFonts w:ascii="游ゴシック" w:cs="游ゴシック" w:eastAsia="游ゴシック" w:hAnsi="游ゴシック"/>
          <w:b/>
          <w:bCs/>
          <w:color w:val="2E75B6"/>
          <w:sz w:val="22"/>
          <w:szCs w:val="22"/>
        </w:rPr>
        <w:t xml:space="preserve">(14) 24時間対応サービスの確保方策</w:t>
      </w:r>
    </w:p>
    <w:p>
      <w:pPr>
        <w:spacing w:after="120" w:line="300" w:lineRule="exact"/>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本村は特定地域に該当する見込みです（1-8の4）。人員配置と報酬の両面で成立の余地が広がるため、最も現実的な選択肢です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4の注記と同じ確認事項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地域支援事業の見込み</w:t>
      </w:r>
    </w:p>
    <w:p>
      <w:pPr>
        <w:keepNext/>
        <w:keepLines/>
        <w:spacing w:after="100" w:line="300" w:lineRule="exact"/>
      </w:pPr>
      <w:r>
        <w:rPr>
          <w:rFonts w:ascii="游ゴシック" w:cs="游ゴシック" w:eastAsia="游ゴシック" w:hAnsi="游ゴシック"/>
          <w:b/>
          <w:bCs/>
          <w:color w:val="2E75B6"/>
          <w:sz w:val="22"/>
          <w:szCs w:val="22"/>
        </w:rPr>
        <w:t xml:space="preserve">(1) 地域支援事業の量の見込み</w:t>
      </w:r>
    </w:p>
    <w:p>
      <w:pPr>
        <w:spacing w:after="120" w:line="300" w:lineRule="exact"/>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游ゴシック" w:cs="游ゴシック" w:eastAsia="游ゴシック" w:hAnsi="游ゴシック"/>
          <w:b/>
          <w:bCs/>
          <w:color w:val="2E75B6"/>
          <w:sz w:val="22"/>
          <w:szCs w:val="22"/>
        </w:rPr>
        <w:t xml:space="preserve">量の見込みの立て方</w:t>
      </w:r>
    </w:p>
    <w:p>
      <w:pPr>
        <w:spacing w:after="120" w:line="300" w:lineRule="exact"/>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令和8年を100としたときの増減率です。認定者数は5-3の見込み（214人→214人→217人→220人）、第1号被保険者数は5-2の見込み（1,012人→1,004人→995人→987人）によります。</w:t>
      </w:r>
    </w:p>
    <w:p>
      <w:pPr>
        <w:spacing w:after="120" w:line="300" w:lineRule="exact"/>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令和5年度の決算で事業費の計上がないため「0」で立てましたが、施策1-2で創設を検討することとしているため、実施を決定した場合は見込量に計上して差し替えます。</w:t>
      </w:r>
    </w:p>
    <w:p>
      <w:pPr>
        <w:keepNext/>
        <w:keepLines/>
        <w:spacing w:after="100" w:line="300" w:lineRule="exact"/>
      </w:pPr>
      <w:r>
        <w:rPr>
          <w:rFonts w:ascii="游ゴシック" w:cs="游ゴシック" w:eastAsia="游ゴシック" w:hAnsi="游ゴシック"/>
          <w:b/>
          <w:bCs/>
          <w:color w:val="2E75B6"/>
          <w:sz w:val="22"/>
          <w:szCs w:val="22"/>
        </w:rPr>
        <w:t xml:space="preserve">(2) 地域支援事業費の見込み</w:t>
      </w:r>
    </w:p>
    <w:p>
      <w:pPr>
        <w:spacing w:after="120" w:line="300" w:lineRule="exact"/>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40,922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lineRule="exact"/>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spacing w:after="120" w:line="300" w:lineRule="exact"/>
      </w:pPr>
      <w:r>
        <w:rPr>
          <w:rFonts w:ascii="游ゴシック" w:cs="游ゴシック" w:eastAsia="游ゴシック" w:hAnsi="游ゴシック"/>
          <w:sz w:val="21"/>
          <w:szCs w:val="21"/>
        </w:rPr>
        <w:t xml:space="preserve">地域支援事業の実施にあたっては、業務の効率化と質の向上を福島県と連携して進めます。介護保険法第117条第3項第4号の2および第5号は、地域支援事業に従事する者の確保および資質の向上と、地域支援事業の実施における業務の効率化・質の向上その他の生産性の向上について、都道府県と連携した取組に関する事項を定めるよう努めることを求めています。改正前から同趣旨の規定があり、令和8年法律第51号により対象が地域支援事業に関するものとして整理されました（令和9年4月1日施行）。本村は地域包括支援センターが1か所であり、3職種の職員が総合相談支援・権利擁護・包括的継続的ケアマネジメント・介護予防ケアマネジメントのすべてを担っています（2-6・施策4-1）。県が実施する研修への参加、会津圏域の市町村との事例の共有、記録と会議の様式の見直しにより、限られた人員で事業を続けられるようにします（施策4-1・施策4-5・施策4-6）。</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令和5年度の決算で事業費の計上がありません（2-6）。施策1-2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標準給付費の見込み</w:t>
      </w:r>
    </w:p>
    <w:p>
      <w:pPr>
        <w:spacing w:after="120" w:line="300" w:lineRule="exact"/>
      </w:pPr>
      <w:r>
        <w:rPr>
          <w:rFonts w:ascii="游ゴシック" w:cs="游ゴシック" w:eastAsia="游ゴシック" w:hAnsi="游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49,389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keepNext/>
        <w:keepLines/>
        <w:spacing w:after="100" w:line="300" w:lineRule="exact"/>
      </w:pPr>
      <w:r>
        <w:rPr>
          <w:rFonts w:ascii="游ゴシック" w:cs="游ゴシック" w:eastAsia="游ゴシック" w:hAnsi="游ゴシック"/>
          <w:b/>
          <w:bCs/>
          <w:color w:val="2E75B6"/>
          <w:sz w:val="22"/>
          <w:szCs w:val="22"/>
        </w:rPr>
        <w:t xml:space="preserve">介護給付費と予防給付費の分離</w:t>
      </w:r>
    </w:p>
    <w:p>
      <w:pPr>
        <w:spacing w:after="120" w:line="300" w:lineRule="exact"/>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175,230円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lineRule="exact"/>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keepNext/>
        <w:keepLines/>
        <w:spacing w:after="100" w:line="300" w:lineRule="exact"/>
      </w:pPr>
      <w:r>
        <w:rPr>
          <w:rFonts w:ascii="游ゴシック" w:cs="游ゴシック" w:eastAsia="游ゴシック" w:hAnsi="游ゴシック"/>
          <w:b/>
          <w:bCs/>
          <w:color w:val="2E75B6"/>
          <w:sz w:val="22"/>
          <w:szCs w:val="22"/>
        </w:rPr>
        <w:t xml:space="preserve">補助給付等の対標準給付費比</w:t>
      </w:r>
    </w:p>
    <w:p>
      <w:pPr>
        <w:spacing w:after="120" w:line="300" w:lineRule="exact"/>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keepNext/>
        <w:keepLines/>
        <w:spacing w:after="100" w:line="300" w:lineRule="exact"/>
      </w:pPr>
      <w:r>
        <w:rPr>
          <w:rFonts w:ascii="游ゴシック" w:cs="游ゴシック" w:eastAsia="游ゴシック" w:hAnsi="游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対前年</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spacing w:after="120" w:line="300" w:lineRule="exact"/>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keepNext/>
        <w:keepLines/>
        <w:spacing w:after="100" w:line="300" w:lineRule="exact"/>
      </w:pPr>
      <w:r>
        <w:rPr>
          <w:rFonts w:ascii="游ゴシック" w:cs="游ゴシック" w:eastAsia="游ゴシック" w:hAnsi="游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280,366千円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第1号被保険者の保険料</w:t>
      </w:r>
    </w:p>
    <w:p>
      <w:pPr>
        <w:keepNext/>
        <w:keepLines/>
        <w:spacing w:after="100" w:line="300" w:lineRule="exact"/>
      </w:pPr>
      <w:r>
        <w:rPr>
          <w:rFonts w:ascii="游ゴシック" w:cs="游ゴシック" w:eastAsia="游ゴシック" w:hAnsi="游ゴシック"/>
          <w:b/>
          <w:bCs/>
          <w:color w:val="2E75B6"/>
          <w:sz w:val="22"/>
          <w:szCs w:val="22"/>
        </w:rPr>
        <w:t xml:space="preserve">第10期の保険料基準額</w:t>
      </w:r>
    </w:p>
    <w:p>
      <w:pPr>
        <w:spacing w:after="120" w:line="300" w:lineRule="exact"/>
      </w:pPr>
      <w:r>
        <w:rPr>
          <w:rFonts w:ascii="游ゴシック" w:cs="游ゴシック" w:eastAsia="游ゴシック" w:hAnsi="游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游ゴシック" w:cs="游ゴシック" w:eastAsia="游ゴシック" w:hAnsi="游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-5・5-4(5)）。</w:t>
      </w:r>
    </w:p>
    <w:p>
      <w:pPr>
        <w:keepNext/>
        <w:keepLines/>
        <w:spacing w:after="100" w:line="300" w:lineRule="exact"/>
      </w:pPr>
      <w:r>
        <w:rPr>
          <w:rFonts w:ascii="游ゴシック" w:cs="游ゴシック" w:eastAsia="游ゴシック" w:hAnsi="游ゴシック"/>
          <w:b/>
          <w:bCs/>
          <w:color w:val="2E75B6"/>
          <w:sz w:val="22"/>
          <w:szCs w:val="22"/>
        </w:rPr>
        <w:t xml:space="preserve">介護給付費準備基金の取崩し</w:t>
      </w:r>
    </w:p>
    <w:p>
      <w:pPr>
        <w:spacing w:after="120" w:line="300" w:lineRule="exact"/>
      </w:pPr>
      <w:r>
        <w:rPr>
          <w:rFonts w:ascii="游ゴシック" w:cs="游ゴシック" w:eastAsia="游ゴシック" w:hAnsi="游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lineRule="exact"/>
      </w:pPr>
      <w:r>
        <w:rPr>
          <w:rFonts w:ascii="游ゴシック" w:cs="游ゴシック" w:eastAsia="游ゴシック" w:hAnsi="游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2-9）。</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5-12）。</w:t>
      </w:r>
    </w:p>
    <w:p>
      <w:pPr>
        <w:keepNext/>
        <w:keepLines/>
        <w:spacing w:after="100" w:line="300" w:lineRule="exact"/>
      </w:pPr>
      <w:r>
        <w:rPr>
          <w:rFonts w:ascii="游ゴシック" w:cs="游ゴシック" w:eastAsia="游ゴシック" w:hAnsi="游ゴシック"/>
          <w:b/>
          <w:bCs/>
          <w:color w:val="2E75B6"/>
          <w:sz w:val="22"/>
          <w:szCs w:val="22"/>
        </w:rPr>
        <w:t xml:space="preserve">確定した算定の係数</w:t>
      </w:r>
    </w:p>
    <w:p>
      <w:pPr>
        <w:spacing w:after="120" w:line="300" w:lineRule="exact"/>
      </w:pPr>
      <w:r>
        <w:rPr>
          <w:rFonts w:ascii="游ゴシック" w:cs="游ゴシック" w:eastAsia="游ゴシック" w:hAnsi="游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係数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調整交付金の見込交付割合について、当方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5-12）。後期高齢者加入割合補正係数と所得段階別加入割合補正係数は、参考シートの全国値（仮置値）から算出された暫定値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8年7月15日の全国介護保険担当課長会議資料は、保険料の算定に用いる諸係数について次のとおり示しています。第2号被保険者負担率27%（令和9年度から令和11年度まで。確定値は令和7年国勢調査の結果による）、第1号被保険者負担率23%、財政安定化基金拠出率10万分の27（都道府県が設定する拠出率は0となることを想定）、保険料の収納下限率は第1号被保険者数1千人未満の保険者で94%、1千人以上1万人未満で93%。基準所得金額は今後別途示さ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収納下限率は、計画期間の第1号保険料の収納率がこれを下回った場合に、下回った分の保険料収納不足額が最終年度の財政安定化基金からの交付・貸付の対象とならないという基準です。本村の第1号被保険者数は令和9年度1,004人・令和10年度1,000人・令和11年度994人であり、計画期間中に1千人の境をまたぐため、適用される下限率は94%と93%の間で動きます。上表の予定保険料収納率99.5%はいずれも上回っており、現在の収納の水準が続く限り交付・貸付の対象から外れること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keepNext/>
        <w:keepLines/>
        <w:spacing w:after="100" w:line="300" w:lineRule="exact"/>
      </w:pPr>
      <w:r>
        <w:rPr>
          <w:rFonts w:ascii="游ゴシック" w:cs="游ゴシック" w:eastAsia="游ゴシック" w:hAnsi="游ゴシック"/>
          <w:b/>
          <w:bCs/>
          <w:color w:val="2E75B6"/>
          <w:sz w:val="22"/>
          <w:szCs w:val="22"/>
        </w:rPr>
        <w:t xml:space="preserve">介護給付費準備基金の取崩しの水準</w:t>
      </w:r>
    </w:p>
    <w:p>
      <w:pPr>
        <w:spacing w:after="120" w:line="300" w:lineRule="exact"/>
      </w:pPr>
      <w:r>
        <w:rPr>
          <w:rFonts w:ascii="游ゴシック" w:cs="游ゴシック" w:eastAsia="游ゴシック" w:hAnsi="游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游ゴシック" w:cs="游ゴシック" w:eastAsia="游ゴシック" w:hAnsi="游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案</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取崩額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第10期（算定上）</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第10期（条例上）</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第9期との差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第11期に残る残高</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第11期（条例上）</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月額58円分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条例基準額は6,700円です。A案（基金を取り崩さない）でも条例上の基準額は6,600円となり、第9期を100円下回ります。取崩しをしなくても保険料は下がるということです。C案（国の推計ワークシートの前提どおり取り崩す）では5,500円（▲1,200円）となります。</w:t>
      </w:r>
    </w:p>
    <w:p>
      <w:pPr>
        <w:spacing w:after="120" w:line="300" w:lineRule="exact"/>
      </w:pPr>
      <w:r>
        <w:rPr>
          <w:rFonts w:ascii="游ゴシック" w:cs="游ゴシック" w:eastAsia="游ゴシック" w:hAnsi="游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11期の基準額は当方の試算です。国の中長期シートは第11期を令和12年度の単年で立てており、第11期の所得段階別加入割合補正後被保険者数を持ちません。このため令和12年度の第1号被保険者数988人に所得段階別加入割合補正係数1.0190と12か月・予定保険料収納率99.50%を乗じて分母を組み、3か年に均した36,063人・月で残高を割っています。保険料は期を通じて同一に定めるため、残高を充てる効きは3か年の分母で割った値になります。シートの取崩額の欄に残高をそのまま入れると単年の分母（12,021人・月）で割られ、3倍大きく出ます（A案では3,796.70円）。これはシートが第11期を単年で立てていることによるもので、期の保険料の姿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分母の組み方が妥当かを、同じ組み方で第10期の分母を復元して確かめました。ワークシートの値（取崩額÷影響額）は36,469人・月、当方の組み方による復元は36,499人・月で、差は＋0.08%です。この差は第11期の基準額に換算すると月額5円以内にとどま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は第11期の取崩額を0としているため、同シートの第11期の出力は7,301.29円です。上表のC案の第11期（算定上7,242.28円）は、残る残高2,128,183円を第11期に充てた場合の値であり、充てない場合はシートどおりの7,301.29円になります。</w:t>
      </w:r>
    </w:p>
    <w:p>
      <w:pPr>
        <w:spacing w:after="120" w:line="300" w:lineRule="exact"/>
      </w:pPr>
      <w:r>
        <w:rPr>
          <w:rFonts w:ascii="游ゴシック" w:cs="游ゴシック" w:eastAsia="游ゴシック" w:hAnsi="游ゴシック"/>
          <w:sz w:val="21"/>
          <w:szCs w:val="21"/>
        </w:rPr>
        <w:t xml:space="preserve">基金にはもう一つの役割があります。推計そのものの誤差を吸収することです。5-4(10)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条例上の基準額は百円未満を切り捨てたものです。第9期は算定上6,760.76円に対し条例6,700円であり、四捨五入（6,800円）では説明できないためです（本節の後段）。四捨五入で置くとB案の第10期が6,000円・第11期が6,800円となり、切捨てとは100円異なります。百円未満の処理は村の条例の定め方によるため、確かめたうえで確定します（5-12）。</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したがって取崩額の判断は、第10期の保険料を下げること、第11期の上がり幅を和らげること、推計の誤差に備えることの3つの兼ね合いになります。当方からは案を示すにとどめ、どの水準を採るかは第2回策定委員会にお諮りします（5-12）。上表の第11期の値は当方の試算であるため、取崩額を決める前に、国の推計ワークシートを操作した再計算により確かめることをお願いしてい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保険料基準額の算定</w:t>
      </w:r>
    </w:p>
    <w:p>
      <w:pPr>
        <w:spacing w:after="120" w:line="300" w:lineRule="exact"/>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keepNext/>
        <w:keepLines/>
        <w:spacing w:after="100" w:line="300" w:lineRule="exact"/>
      </w:pPr>
      <w:r>
        <w:rPr>
          <w:rFonts w:ascii="游ゴシック" w:cs="游ゴシック" w:eastAsia="游ゴシック" w:hAnsi="游ゴシック"/>
          <w:b/>
          <w:bCs/>
          <w:color w:val="2E75B6"/>
          <w:sz w:val="22"/>
          <w:szCs w:val="22"/>
        </w:rPr>
        <w:t xml:space="preserve">算定の構造</w:t>
      </w:r>
    </w:p>
    <w:p>
      <w:pPr>
        <w:spacing w:after="120" w:line="300" w:lineRule="exact"/>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lineRule="exact"/>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keepNext/>
        <w:keepLines/>
        <w:spacing w:after="100" w:line="300" w:lineRule="exact"/>
      </w:pPr>
      <w:r>
        <w:rPr>
          <w:rFonts w:ascii="游ゴシック" w:cs="游ゴシック" w:eastAsia="游ゴシック" w:hAnsi="游ゴシック"/>
          <w:b/>
          <w:bCs/>
          <w:color w:val="2E75B6"/>
          <w:sz w:val="22"/>
          <w:szCs w:val="22"/>
        </w:rPr>
        <w:t xml:space="preserve">算定の構造による第9期の再現</w:t>
      </w:r>
    </w:p>
    <w:p>
      <w:pPr>
        <w:spacing w:after="120" w:line="300" w:lineRule="exact"/>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第1号被保険者負担割合（α）</w:t>
      </w:r>
    </w:p>
    <w:p>
      <w:pPr>
        <w:spacing w:after="120" w:line="300" w:lineRule="exact"/>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＋587円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10期の第1号被保険者負担割合は、国の推計ワークシートにより23%で据え置かれることが確かめられました。第11期24%・第12期25%・第14期26%・第16期27%・第17期28%は仮置値として参考に示されているものです。上表の24%・25%の行は、第11期以降の姿を見るための参考です。</w:t>
      </w:r>
    </w:p>
    <w:p>
      <w:pPr>
        <w:keepNext/>
        <w:keepLines/>
        <w:spacing w:after="100" w:line="300" w:lineRule="exact"/>
      </w:pPr>
      <w:r>
        <w:rPr>
          <w:rFonts w:ascii="游ゴシック" w:cs="游ゴシック" w:eastAsia="游ゴシック" w:hAnsi="游ゴシック"/>
          <w:b/>
          <w:bCs/>
          <w:color w:val="2E75B6"/>
          <w:sz w:val="22"/>
          <w:szCs w:val="22"/>
        </w:rPr>
        <w:t xml:space="preserve">感応度</w:t>
      </w:r>
    </w:p>
    <w:p>
      <w:pPr>
        <w:spacing w:after="120" w:line="300" w:lineRule="exact"/>
      </w:pPr>
      <w:r>
        <w:rPr>
          <w:rFonts w:ascii="游ゴシック" w:cs="游ゴシック" w:eastAsia="游ゴシック" w:hAnsi="游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游ゴシック" w:cs="游ゴシック" w:eastAsia="游ゴシック" w:hAnsi="游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当方が令和5年度決算を基礎として算定した感応度です。基金残高は国の推計ワークシートにより確定しました（42,128,183円）。令和6年度・令和7年度の決算の提供を受けた時点で、給付費の水準に関わる行を確定します。感応度の各行がどれだけ動くかは、国の値に組み替えたうえで算定し直して確かめます。</w:t>
      </w:r>
    </w:p>
    <w:p>
      <w:pPr>
        <w:keepNext/>
        <w:keepLines/>
        <w:spacing w:after="100" w:line="300" w:lineRule="exact"/>
      </w:pPr>
      <w:r>
        <w:rPr>
          <w:rFonts w:ascii="游ゴシック" w:cs="游ゴシック" w:eastAsia="游ゴシック" w:hAnsi="游ゴシック"/>
          <w:b/>
          <w:bCs/>
          <w:color w:val="2E75B6"/>
          <w:sz w:val="22"/>
          <w:szCs w:val="22"/>
        </w:rPr>
        <w:t xml:space="preserve">年度別の保険料収納必要額</w:t>
      </w:r>
    </w:p>
    <w:p>
      <w:pPr>
        <w:spacing w:after="120" w:line="300" w:lineRule="exact"/>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lineRule="exact"/>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▲486千円（不足）</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保険料基準額のパターン</w:t>
      </w:r>
    </w:p>
    <w:p>
      <w:pPr>
        <w:spacing w:after="120" w:line="300" w:lineRule="exact"/>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100" w:line="300" w:lineRule="exact"/>
      </w:pPr>
      <w:r>
        <w:rPr>
          <w:rFonts w:ascii="游ゴシック" w:cs="游ゴシック" w:eastAsia="游ゴシック" w:hAnsi="游ゴシック"/>
          <w:b/>
          <w:bCs/>
          <w:color w:val="2E75B6"/>
          <w:sz w:val="22"/>
          <w:szCs w:val="22"/>
        </w:rPr>
        <w:t xml:space="preserve">算定上の月額と条例上の基準額</w:t>
      </w:r>
    </w:p>
    <w:p>
      <w:pPr>
        <w:spacing w:after="120" w:line="300" w:lineRule="exact"/>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游ゴシック" w:cs="游ゴシック" w:eastAsia="游ゴシック" w:hAnsi="游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パターン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算定上の月額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条例上の基準額（百円未満切捨て）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　四捨五入とした場合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据え置き</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12パターンの下限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12パターンの上限</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7,341円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lineRule="exact"/>
      </w:pPr>
      <w:r>
        <w:rPr>
          <w:rFonts w:ascii="游ゴシック" w:cs="游ゴシック" w:eastAsia="游ゴシック" w:hAnsi="游ゴシック"/>
          <w:sz w:val="21"/>
          <w:szCs w:val="21"/>
        </w:rPr>
        <w:t xml:space="preserve">第9期の条例基準額6,700円に対し、基金を取り崩さない場合は6,700円、24,000千円を取り崩す場合は6,000円となります。四捨五入で置いた場合は前者が6,800円・後者が6,100円であり、この2行では扱いの違いが100円の差になります。12パターンの下限・上限はいずれの扱いでも同じ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百円未満の処理は村の条例の定め方によります。第9期の実例は切捨てで説明できますが、条例の文言を確かめたものではないため、村にご確認いただいたうえで第10期も同じ扱いとします（5-12）。扱いが四捨五入である場合、上表と基金の3案の表の条例上の基準額が案により100円動きます。</w:t>
      </w:r>
    </w:p>
    <w:p>
      <w:pPr>
        <w:spacing w:after="120" w:line="300" w:lineRule="exact"/>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以下の表（算定の構造・第9期の再現・感応度・年度別の収納必要額・12のパターン・条例上の基準額）は、当方が国の推計ワークシートの提供を受ける前に算定したものです。国の値との突合は上の「当方の算定との突合」に示しており、取崩しを行わないベースで2.2%の差でした。算定の仕組みを示すものとして残します。国の値に合わせた組み替えは、令和6年度・令和7年度の決算の提供を受けた時点で行います。</w:t>
      </w:r>
    </w:p>
    <w:p>
      <w:pPr>
        <w:keepNext/>
        <w:keepLines/>
        <w:spacing w:after="100" w:line="300" w:lineRule="exact"/>
      </w:pPr>
      <w:r>
        <w:rPr>
          <w:rFonts w:ascii="游ゴシック" w:cs="游ゴシック" w:eastAsia="游ゴシック" w:hAnsi="游ゴシック"/>
          <w:b/>
          <w:bCs/>
          <w:color w:val="2E75B6"/>
          <w:sz w:val="22"/>
          <w:szCs w:val="22"/>
        </w:rPr>
        <w:t xml:space="preserve">所得段階の設定</w:t>
      </w:r>
    </w:p>
    <w:p>
      <w:pPr>
        <w:spacing w:after="120" w:line="300" w:lineRule="exact"/>
      </w:pPr>
      <w:r>
        <w:rPr>
          <w:rFonts w:ascii="游ゴシック" w:cs="游ゴシック" w:eastAsia="游ゴシック" w:hAnsi="游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-8の3）。検討の結果が示された時点で、段階数・対象者数・保険料率を再設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市町村民税非課税の第1段階から第5段階が612人・60.3%を占め、非課税の最上位である第5段階に193人、課税の最下位である第6段階に159人が分布しています。非課税から課税に上がるときの上昇の緩和は、この境界にいる方に直接関わります。また本村の第1号被保険者は約1,000人であるため、数人の段階の移動でも所得段階別加入割合補正後被保険者数が動き、保険料基準額に効きます。標準段階が改められた場合は、段階別の人数を再集計したうえで保険料を再算定します（5-12）。</w:t>
      </w:r>
    </w:p>
    <w:p>
      <w:pPr>
        <w:spacing w:after="120" w:line="300" w:lineRule="exact"/>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lineRule="exact"/>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出典：令和8年度合計所得金額分布調査</w:t>
      </w:r>
    </w:p>
    <w:p>
      <w:pPr>
        <w:spacing w:after="120" w:line="300" w:lineRule="exact"/>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5-8　介護給付適正化計画</w:t>
      </w:r>
    </w:p>
    <w:p>
      <w:pPr>
        <w:spacing w:after="120" w:line="300" w:lineRule="exact"/>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游ゴシック" w:cs="游ゴシック" w:eastAsia="游ゴシック" w:hAnsi="游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keepNext/>
        <w:keepLines/>
        <w:spacing w:after="100" w:line="300" w:lineRule="exact"/>
      </w:pPr>
      <w:r>
        <w:rPr>
          <w:rFonts w:ascii="游ゴシック" w:cs="游ゴシック" w:eastAsia="游ゴシック" w:hAnsi="游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毎年度4帳票・100%。医療情報との突合は16点満点を維持</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游ゴシック" w:cs="游ゴシック" w:eastAsia="游ゴシック" w:hAnsi="游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図5-3　給付適正化の取組別得点の推移（推進交付金 目標Ⅱ）</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出典：厚生労働省「評価指標に係る該当状況調査票集計表」（令和6〜8年度）により算定</w:t>
      </w:r>
    </w:p>
    <w:p>
      <w:pPr>
        <w:spacing w:after="120" w:line="300" w:lineRule="exact"/>
      </w:pPr>
      <w:r>
        <w:rPr>
          <w:rFonts w:ascii="游ゴシック" w:cs="游ゴシック" w:eastAsia="游ゴシック" w:hAnsi="游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keepNext/>
        <w:keepLines/>
        <w:spacing w:after="100" w:line="300" w:lineRule="exact"/>
      </w:pPr>
      <w:r>
        <w:rPr>
          <w:rFonts w:ascii="游ゴシック" w:cs="游ゴシック" w:eastAsia="游ゴシック" w:hAnsi="游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毎年度公表</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keepNext/>
        <w:keepLines/>
        <w:spacing w:after="100" w:line="300" w:lineRule="exact"/>
      </w:pPr>
      <w:r>
        <w:rPr>
          <w:rFonts w:ascii="游ゴシック" w:cs="游ゴシック" w:eastAsia="游ゴシック" w:hAnsi="游ゴシック"/>
          <w:b/>
          <w:bCs/>
          <w:color w:val="2E75B6"/>
          <w:sz w:val="22"/>
          <w:szCs w:val="22"/>
        </w:rPr>
        <w:t xml:space="preserve">(3) 財政調整交付金の算定への影響</w:t>
      </w:r>
    </w:p>
    <w:p>
      <w:pPr>
        <w:spacing w:after="120" w:line="300" w:lineRule="exact"/>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当方の算定では上記の据え置きを前提に月額6,756円（5-7）。国の推計ワークシートによる基準額は月額5,513.72円（5-7）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游ゴシック" w:cs="游ゴシック" w:eastAsia="游ゴシック" w:hAnsi="游ゴシック"/>
          <w:sz w:val="21"/>
          <w:szCs w:val="21"/>
        </w:rPr>
        <w:t xml:space="preserve">勘案の方法は、令和8年9月18日の社会保障審議会介護保険部会において次のとおり示されました（1-8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要件</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国の推計ワークシートの見込交付割合は5.36%・5.03%・4.67%で、当方が第9期から復元した4.10〜4.32%を上回ります（5-7）。増加するかは交付割合が確定した時点で確認します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本村の1人あたり費用額は県内下位であり（2-7）、外れ値に該当する可能性は低いと見られます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①に該当する場合は令和9年度から影響します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額は算定していません。年齢区分の精緻化により増加した額を限度とするものであり、増加額は7区分による補正係数が示された時点で決まるためです（1-8の2）。交付額が増加しない保険者には減額が生じません。5-7の保険料は減額を織り込んでいません（5-12）。なお本節の上表の「調整交付金の見込交付割合が0.1ポイント低下」は、交付割合そのものが動いた場合の感応度であり、この減額の見込額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県に対しては、本村の交付割合の見通しと、主要3事業の実施状況がどのように把握されているかを照会する必要があります。令和8年度の評価で0点である理由（①の未実施か記録の不足か）が分からないと、令和9年度から何を改めるべきかが定まりません。</w:t>
      </w:r>
    </w:p>
    <w:p>
      <w:pPr>
        <w:keepNext/>
        <w:keepLines/>
        <w:spacing w:after="100" w:line="300" w:lineRule="exact"/>
      </w:pPr>
      <w:r>
        <w:rPr>
          <w:rFonts w:ascii="游ゴシック" w:cs="游ゴシック" w:eastAsia="游ゴシック" w:hAnsi="游ゴシック"/>
          <w:b/>
          <w:bCs/>
          <w:color w:val="2E75B6"/>
          <w:sz w:val="22"/>
          <w:szCs w:val="22"/>
        </w:rPr>
        <w:t xml:space="preserve">(4) 介護SCRの活用</w:t>
      </w:r>
    </w:p>
    <w:p>
      <w:pPr>
        <w:spacing w:after="120" w:line="300" w:lineRule="exact"/>
      </w:pPr>
      <w:r>
        <w:rPr>
          <w:rFonts w:ascii="游ゴシック" w:cs="游ゴシック" w:eastAsia="游ゴシック" w:hAnsi="游ゴシック"/>
          <w:sz w:val="21"/>
          <w:szCs w:val="21"/>
        </w:rPr>
        <w:t xml:space="preserve">介護SCR（標準化レセプト出現比）は、当該地域の人口構成が全国と同じであると仮定した場合に見込まれるレセプトコードの出現数に対して、実際の出現数がどの程度離れているかを、全国平均を100として示す指標です。2-5に掲げたとおり、本村には利用者の住所地でみるSCRと事業所の所在地でみるxSCRの2系列が得られています。</w:t>
      </w:r>
    </w:p>
    <w:p>
      <w:pPr>
        <w:spacing w:after="120" w:line="300" w:lineRule="exact"/>
      </w:pPr>
      <w:r>
        <w:rPr>
          <w:rFonts w:ascii="游ゴシック" w:cs="游ゴシック" w:eastAsia="游ゴシック" w:hAnsi="游ゴシック"/>
          <w:sz w:val="21"/>
          <w:szCs w:val="21"/>
        </w:rPr>
        <w:t xml:space="preserve">この2系列は、適正化の重点を2つに分けて選ぶのに用います。まず、村内に事業所があるサービス（訪問介護・通所介護・認知症対応型共同生活介護とケアマネジメント）については、xSCRとSCRの対比により、村内の供給が本村の需要に対して過不足なく働いているかを見ます。次に、村内に事業所がないサービス（施設・短期入所・医療系の居宅サービス）については、SCRのみを手がかりに、村外での利用が本村の状態像に照らして妥当な水準かを見ます。介護予防短期入所生活介護のように全国の水準を大きく上回る区分は、ケアプラン点検の対象の選定に用います。給付費が高いサービスについて、それが利用の多さによるものか、単価の高い形態に偏っているためかを切り分ける材料にも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SCRは各年度の実績による単年度の集計であり、被保険者数の少ない市町村や利用者が限られるサービス区分では年度ごとの振れが生じやすいとされています。本村の規模では利用者1人の増減が指標を大きく動かすため、単年度の値のみで点検の対象を決めず、3か年の推移を確かめたうえで用います。また、SCRは給付費ではなくレセプトの件数を数えたものであるため、給付費の多寡とは一致しません。給付費の適正化の判断には、(1)から(3)に掲げた帳票による点検と併せて用います。</w:t>
      </w:r>
    </w:p>
    <w:p>
      <w:pPr>
        <w:keepNext/>
        <w:keepLines/>
        <w:spacing w:after="100" w:line="300" w:lineRule="exact"/>
      </w:pPr>
      <w:r>
        <w:rPr>
          <w:rFonts w:ascii="游ゴシック" w:cs="游ゴシック" w:eastAsia="游ゴシック" w:hAnsi="游ゴシック"/>
          <w:b/>
          <w:bCs/>
          <w:color w:val="2E75B6"/>
          <w:sz w:val="22"/>
          <w:szCs w:val="22"/>
        </w:rPr>
        <w:t xml:space="preserve">(5) 帳票を活用した点検の充実と新たな点検手法</w:t>
      </w:r>
    </w:p>
    <w:p>
      <w:pPr>
        <w:spacing w:after="120" w:line="300" w:lineRule="exact"/>
      </w:pPr>
      <w:r>
        <w:rPr>
          <w:rFonts w:ascii="游ゴシック" w:cs="游ゴシック" w:eastAsia="游ゴシック" w:hAnsi="游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指針の改訂の内容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国が示した内容</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施策3-5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出典：第136回社会保障審議会介護保険部会（令和8年9月18日）資料5「介護給付適正化に向けた取組について（報告）」</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が示した適正化の効果は、令和6年度のケアプランの点検（住宅改修の点検・福祉用具購入・貸与調査を含む）で過誤申立が約1.2万件・効果額が約1億円、医療情報との突合・縦覧点検で約13.6万件・約14.0億円です。全保険者の合計であり、本村に当てはめた額ではありません。本村の過誤申立の件数と効果額は把握できていないため、(1)の目標は件数と実施率により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高齢者向け住まいに居住する受給者を抽出した帳票は、作成する仕組みを構築するとされた段階であり、提供の時期は示されていません。本計画はこの帳票を用いることを前提とした目標は置いていません（5-12）。</w:t>
      </w:r>
    </w:p>
    <w:p>
      <w:pPr>
        <w:spacing w:after="120" w:line="300" w:lineRule="exact"/>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5-9　保険者機能強化推進交付金等の活用</w:t>
      </w:r>
    </w:p>
    <w:p>
      <w:pPr>
        <w:spacing w:after="120" w:line="300" w:lineRule="exact"/>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游ゴシック" w:cs="游ゴシック" w:eastAsia="游ゴシック" w:hAnsi="游ゴシック"/>
          <w:b/>
          <w:bCs/>
          <w:color w:val="2E75B6"/>
          <w:sz w:val="22"/>
          <w:szCs w:val="22"/>
        </w:rPr>
        <w:t xml:space="preserve">(1) 交付見込額</w:t>
      </w:r>
    </w:p>
    <w:p>
      <w:pPr>
        <w:spacing w:after="120" w:line="300" w:lineRule="exact"/>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lineRule="exact"/>
      </w:pPr>
      <w:r>
        <w:rPr>
          <w:rFonts w:ascii="游ゴシック" w:cs="游ゴシック" w:eastAsia="游ゴシック" w:hAnsi="游ゴシック"/>
          <w:b/>
          <w:bCs/>
          <w:color w:val="2E75B6"/>
          <w:sz w:val="22"/>
          <w:szCs w:val="22"/>
        </w:rPr>
        <w:t xml:space="preserve">(2) 評価結果の状況</w:t>
      </w:r>
    </w:p>
    <w:p>
      <w:pPr>
        <w:spacing w:after="120" w:line="300" w:lineRule="exact"/>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34位／59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5-10　低所得者への対応</w:t>
      </w:r>
    </w:p>
    <w:p>
      <w:pPr>
        <w:spacing w:after="120" w:line="300" w:lineRule="exact"/>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lineRule="exact"/>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5-11　令和22年度（2040年度）を見据えた見通し</w:t>
      </w:r>
    </w:p>
    <w:p>
      <w:pPr>
        <w:spacing w:after="120" w:line="300" w:lineRule="exact"/>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keepNext/>
        <w:keepLines/>
        <w:spacing w:after="100" w:line="300" w:lineRule="exact"/>
      </w:pPr>
      <w:r>
        <w:rPr>
          <w:rFonts w:ascii="游ゴシック" w:cs="游ゴシック" w:eastAsia="游ゴシック" w:hAnsi="游ゴシック"/>
          <w:b/>
          <w:bCs/>
          <w:color w:val="2E75B6"/>
          <w:sz w:val="22"/>
          <w:szCs w:val="22"/>
        </w:rPr>
        <w:t xml:space="preserve">中長期の保険料（国の推計ワークシートによる）</w:t>
      </w:r>
    </w:p>
    <w:p>
      <w:pPr>
        <w:spacing w:after="120" w:line="300" w:lineRule="exact"/>
      </w:pPr>
      <w:r>
        <w:rPr>
          <w:rFonts w:ascii="游ゴシック" w:cs="游ゴシック" w:eastAsia="游ゴシック" w:hAnsi="游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第10期比</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游ゴシック" w:cs="游ゴシック" w:eastAsia="游ゴシック" w:hAnsi="游ゴシック"/>
          <w:sz w:val="21"/>
          <w:szCs w:val="21"/>
        </w:rPr>
        <w:t xml:space="preserve">第11期（令和12年度）に7,301.29円（＋32.4%）跳ね上がります。第10期で介護給付費準備基金をほぼ使い切り、第11期には取崩しの余地が残らないためです（5-7）。第11期の7,301.29円は、取崩しを行わない場合の第10期の6,610.55円に近い水準です。</w:t>
      </w:r>
    </w:p>
    <w:p>
      <w:pPr>
        <w:spacing w:after="120" w:line="300" w:lineRule="exact"/>
      </w:pPr>
      <w:r>
        <w:rPr>
          <w:rFonts w:ascii="游ゴシック" w:cs="游ゴシック" w:eastAsia="游ゴシック" w:hAnsi="游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-7）。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参考シートの全国値（仮置値）によって算出された暫定値です。当方が国の式により復元を試みたところ、令和17年度0.8604・令和22年度0.7459となり、ワークシートの値（0.9753・0.7790）と一致しませんでした。算出に用いる加入割合の時点または区分の取り方が当方の想定と異なるものと考えられます。中長期の保険料の水準はこの係数に大きく左右されるため、算出方法を確認したうえで確定します（5-12）。また令和10年度からFの年齢区分が3区分から7区分に細分化され、激変緩和の措置が設けられるため（1-8の2）、上表の第11期以降の値は現行の区分による参考値です。</w:t>
      </w:r>
    </w:p>
    <w:p>
      <w:pPr>
        <w:keepNext/>
        <w:keepLines/>
        <w:spacing w:after="100" w:line="300" w:lineRule="exact"/>
      </w:pPr>
      <w:r>
        <w:rPr>
          <w:rFonts w:ascii="游ゴシック" w:cs="游ゴシック" w:eastAsia="游ゴシック" w:hAnsi="游ゴシック"/>
          <w:b/>
          <w:bCs/>
          <w:color w:val="2E75B6"/>
          <w:sz w:val="22"/>
          <w:szCs w:val="22"/>
        </w:rPr>
        <w:t xml:space="preserve">中長期の見込量・給付費・保険料（当方の算定）</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lineRule="exact"/>
      </w:pPr>
      <w:r>
        <w:rPr>
          <w:rFonts w:ascii="游ゴシック" w:cs="游ゴシック" w:eastAsia="游ゴシック" w:hAnsi="游ゴシック"/>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-7）。給付費が16.2%減ることによる引下げは月額約960円に相当しますが、αが3ポイント上がればほぼ相殺されます。</w:t>
      </w:r>
    </w:p>
    <w:p>
      <w:pPr>
        <w:spacing w:after="120" w:line="300" w:lineRule="exact"/>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保険料基準額の見通し（αの2案）</w:t>
      </w:r>
    </w:p>
    <w:p>
      <w:pPr>
        <w:spacing w:after="120" w:line="300" w:lineRule="exact"/>
      </w:pPr>
      <w:r>
        <w:rPr>
          <w:rFonts w:ascii="游ゴシック" w:cs="游ゴシック" w:eastAsia="游ゴシック" w:hAnsi="游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9,323人・月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8,379円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keepNext/>
        <w:keepLines/>
        <w:spacing w:after="100" w:line="300" w:lineRule="exact"/>
      </w:pPr>
      <w:r>
        <w:rPr>
          <w:rFonts w:ascii="游ゴシック" w:cs="游ゴシック" w:eastAsia="游ゴシック" w:hAnsi="游ゴシック"/>
          <w:b/>
          <w:bCs/>
          <w:color w:val="2E75B6"/>
          <w:sz w:val="22"/>
          <w:szCs w:val="22"/>
        </w:rPr>
        <w:t xml:space="preserve">中長期的な観点から取り組むべき施策</w:t>
      </w:r>
    </w:p>
    <w:p>
      <w:pPr>
        <w:spacing w:after="120" w:line="300" w:lineRule="exact"/>
      </w:pPr>
      <w:r>
        <w:rPr>
          <w:rFonts w:ascii="游ゴシック" w:cs="游ゴシック" w:eastAsia="游ゴシック" w:hAnsi="游ゴシック"/>
          <w:sz w:val="21"/>
          <w:szCs w:val="21"/>
        </w:rPr>
        <w:t xml:space="preserve">介護保険法第117条第2項第4号は、介護給付等対象サービスを提供する体制の確保および地域支援事業の実施に関し、中長期的な観点から市町村が取り組むべき施策に関する事項を定めることを求めています（社会福祉法等の一部を改正する法律（令和8年法律第51号）による追加。令和9年4月1日施行）。本計画の期間は3か年ですが、上記の見通しから次の3つは計画期間を超えて続ける必要があります。種類ごとの量と地域支援事業の量の中長期的な推計は資10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054"/>
        <w:gridCol w:w="224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中長期的に取り組むべき施策</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なぜ中長期か</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関わる施策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担い手の確保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には高齢者1人を生産年齢人口1.01人で支える計算になります。サービスの量が減っても、提供する人がいなければ供給は確保できません。人材の確保は3か年では完結せず、県および事業者と継続して取り組む必要があり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施策4-6・施策3-1</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村外の事業所への依存の構造への対応</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で提供されるサービスは3種類にとどまり、施設サービスはすべて村外です（2-5）。令和9年4月に新設される特定地域サービス・特定地域居宅サービス等事業の活用と、広域での供給の確保を、計画期間を超えて見通す必要があり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施策3-1・施策3-3・5-4(4)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保険料の上がり方を抑えること</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給付費が減っても第1号被保険者数がそれ以上に減るため、保険料は下がりません。介護予防と給付適正化は、保険料を下げるためではなく上がり方を抑えるために続ける取組です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基本目標1・施策3-5・5-8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5-12　現時点で据え置いた項目と確定の条件</w:t>
      </w:r>
    </w:p>
    <w:p>
      <w:pPr>
        <w:spacing w:after="120" w:line="300" w:lineRule="exact"/>
      </w:pPr>
      <w:r>
        <w:rPr>
          <w:rFonts w:ascii="游ゴシック" w:cs="游ゴシック" w:eastAsia="游ゴシック" w:hAnsi="游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keepNext/>
        <w:keepLines/>
        <w:spacing w:after="100" w:line="300" w:lineRule="exact"/>
      </w:pPr>
      <w:r>
        <w:rPr>
          <w:rFonts w:ascii="游ゴシック" w:cs="游ゴシック" w:eastAsia="游ゴシック" w:hAnsi="游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 月報第2表・第3表</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構成比のみを用いている。差はデータベースの違いによるものであることを指標の解説で確かめた</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―（解決済み）</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総合事業の事業別実績（管理番号25〜39）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包括的支援事業・任意事業の決算内訳</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令和9年度以降も0で入っている6サービス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国の推計ワークシートのまま0としている（介護予防短期入所生活介護・訪問入浴介護・短期入所療養介護（老健）・特定福祉用具購入費・住宅改修費・地域密着型通所介護）。令和6・7年度には実績がある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村の確認（国の集計の提出期限は令和8年10月13日18時）</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老人福祉事業の量の目標（老人福祉法第20条の8第2項）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上の13区分のうち、介護保険給付によるもの（老人居宅生活支援事業6事業・老人デイサービスセンター・老人短期入所施設・特別養護老人ホーム）は5-4・5-5の見込量をもって目標としている。残る施設および村が実施するサービスは令和9〜11年度の量が空欄である。令和7年度の実績が村から未受領であり、実績がないまま目標の量を置くことができない。確保の方策（該当施策）は記載済み</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(1)の施設と(2)のサービスの令和5〜7年度の実績（管理番号25〜39）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地域支援事業の量の見込み（介護保険法第117条第2項第2号）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量の表19事業のうち10事業、事業費の表12区分のうち7区分の令和9〜11年度が空欄である。包括的支援事業（社会保障充実分）の4つの内訳は決算の内訳が未受領のため実績も置けない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総合事業・包括的支援事業・任意事業の事業別の実績と決算の内訳（管理番号25〜39）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国の推計ワークシートの第17期までの出力を本体とし、当方の算定（αの2案）を併記。報酬改定・制度改正は織り込まない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第11期以降の第1号被保険者負担割合を定める政令（ワークシートの値は仮置値）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老人福祉施設の量　養護老人ホームの措置・軽費老人ホーム・生活支援ハウス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実績・目標とも空欄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村の措置・利用の実績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保険者機能強化推進交付金等の交付見込額（令和9〜11年度）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3か年とも空欄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国の配分の方法と本村の得点。第10期の評価指標の公表後に見込む</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村が実施する高齢者福祉サービスの量　弁当配達・緊急通報・除雪支援・移動支援・寝具洗濯・訪問理美容・家族介護者リフレッシュ・介護用品の支給・なりすまし詐欺抑止装置・火災警報器・防犯カメラ・高齢者教室・長寿を祝う会・健康長寿祝金・活動活性化助成金・シルバー人材センター・老人クラ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実績は空欄。目標は弁当配達の年4回のみ記入（17事業）</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施策体系に対応する施策のない5事業（寝具洗濯・訪問理美容・長寿を祝う会・健康長寿祝金・活動活性化助成金）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量のみ掲げ、施策体系上の位置づけは記載していない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条例により設置された施設が現に運営されているか　老人デイサービスセンター（平成17年条例第35号）・老人介護支援センター（平成11年条例第5号）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実績・目標を【要確認】としている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設置および運営の形態（指定管理・委託の別）と実績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老人福祉センターの有無　活性化センター（平成24年条例第12号）が老人福祉センターに相当するか</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【要確認】としている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老人福祉法第20条の8第5項の参酌すべき標準（養護老人ホーム・軽費老人ホーム・老人福祉センター・老人介護支援センター）</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第10期の参酌標準の内容</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老人福祉法第10条の4の措置の実績　日常生活用具給付等（第2項）・ホームヘルパーの派遣（第1項第1号）・短期入所（第1項第3号）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いずれも【要確認】としている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村の措置の実績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第4節 老人福祉に根拠となる例規がない4事業（なりすまし詐欺抑止装置・長寿を祝う会・防犯カメラ等の助成・活動活性化助成金）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根拠例規を注記していない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村の確認。他の章（防災・保健衛生等）にあるとみられる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老人福祉法第20条の8第9項の県の意見聴取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介護保険法第117条第14項の意見聴取と2つをあわせて行えるかを確認するとしている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県への確認。第9期における取扱い</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会津区域における医療と介護の関係者の連携の状況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勘案していない（村内の診療所2か所と村外の医療機関との連携の状況により算定している）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県が定める区域ごとの連携の状況の提供。介護保険法第117条が勘案を求めている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有料老人ホーム・登録有料老人ホーム・登録住宅の入居定員総数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村内に該当する施設がないため0としている（2-5）</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が令和7年6月時点で把握した区域ごとの入居定員総数の提供を受ける（サービス付き高齢者向け住宅は情報提供システムによる）。要介護者等の入居状況は可能な限りの把握とされている。登録制の開始を理由に計画を変更する必要はないとされ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1-2・1-4・施策4-3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介護保険法第117条のうち本計画が引いている項の番号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医療計画との整合および他の計画との調和は項番号を落として引き、老人福祉計画との一体は改正後の第7項（現行の第6項）として引いている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旧対照条文により、現行の第5項は費用の額等の分析に関する規定であり（第120条の2が「第117条第5項の規定による市町村の分析」を引いている）、医療計画との整合の規定ではないことが確かめられた。整合の規定が現行の第何項かを条文で確かめ、改正後の番号に揃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1-4・資9・施策2-3・施策2-6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福島県高齢者居住安定確保計画の改定</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令和4年3月の計画（令和4〜8年度）の会津地域の対策に即して記述している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同計画は令和8年度で満了する。県の高齢者福祉計画・介護保険事業支援計画および住生活基本計画の改定に合わせて改定される見込みであり、改定後の会津地域の対策を確認して記述を確定する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中長期的な推計についての都道府県への意見聴取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意見聴取の工程を策定の経過に置いていない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県への意見聴取の時期と様式。介護保険法第117条が手続として求めている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調整交付金の見込交付割合の出所</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国の推計ワークシートの5.36／5.03／4.67%を用いている。当方が第9期から復元した4.10〜4.32%を1.0ポイント以上上回る（月額約260円）</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県の指示値か村の入力値かの確認、および県への照会（主要3事業の取組状況の勘案・5-8(3)）</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後期高齢者加入割合補正係数（F）の算出方法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国の推計ワークシートの値を用いている。当方の復元（令和17年度0.8604・令和22年度0.7459）がワークシートの値（0.9753・0.7790）と一致しない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算出に用いる加入割合の時点と区分の確認。令和10年度からの7区分化と激変緩和の措置の内容（1-8の2）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標準13段階を仮置き。国の推計ワークシートで弾力化の行が空であることを確認済。乗率は第9期の設定を据え置き。高所得者の標準乗率の見直しを含めた標準段階の見直しを検討することについて意見が求められた段階（1-8の3）</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標準段階を定める政令。段数が変わる場合は段階別の人数を再集計する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住民税非課税の段階から課税の段階に上がるときの保険料の上昇の緩和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緩和の方法（乗率の刻みの細分化か別の仕組みか）が示されていない。本村は非課税の第1段階から第5段階が612人・60.3%を占め、非課税の最上位である第5段階に193人、課税の最下位である第6段階に159人が分布しているため、境界の扱いが広く関わる（5-7）</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標準段階を定める政令。緩和の方法が示された時点で段階別の人数を再集計して再算定する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1-8の2・5-6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補足給付の区分の細分化と負担限度額の上乗せの額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行の時期は、部会の意見書により、第3段階②の負担限度額の上乗せが令和8年度から、第3段階①・②をそれぞれア・イに区分したうえでの①イ・②イの上乗せが令和9年度からであることを確認した（1-8の2）。負担限度額の額は示されていないため、補助給付等は令和5年度決算を据え置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負担限度額を定める政令・省令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1-8の3・5-7・5-8(3)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調整交付金の一定の取組による減額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仕組みは、年齢区分の精緻化により交付額が増加する保険者について、①主要3事業のいずれかを実施していない場合、または②1人あたり給付費の外れ値に該当した保険者が帳票を活用した点検の実施率等を前年度の水準以上に保てなかった場合に、増加額の5%を減額するものであることを確認した。本村は主要3事業の実施数が2事業であるため①に該当し得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本村の交付額が増加するかと増加額（7区分による補正係数の提示後）。令和8年度の評価で主要3事業が0点である理由の村への確認（5-8(1)）</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5-8(3)・6-4⑦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1人あたり給付費の外れ値への該当の有無</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該当しないものとして扱っている（本村の1人あたり費用額は県内下位。2-7）。令和9年2月から令和10年1月までの1人あたり給付費により判定され、該当する場合は令和10年7月頃までに国から通知される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国からの通知。該当した場合は令和10年度下半期の点検の実施率等を令和9年度下半期以上に保つ必要があり、6-4⑦により毎年度記録する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特定地域サービス・特定地域居宅サービス等事業の制度の内容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0で立てている。対象となるサービスの種類・人員配置基準の弾力化の程度・報酬の評価の方法・事業費の上限がいずれも未確定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省令・通知および介護給付費分科会の検討の結果</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省令・通知および村の活用の意向</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国の推計ツールの出力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介護情報基盤への移行の時期と村のシステム対応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全市町村において令和10年4月1日までにデータ移行を含めて完了し活用を開始することを目指すとされた（1-8の3）。村の介護保険事務システムの改修の内容・費用・工程は定まっていない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国からの移行の手順の提示と、村のシステム事業者との協議。費用が生じる場合は事務費として予算に計上する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ケアプランデータ連携の導入の状況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村内の居宅介護支援事業所・サービス事業所の導入の状況を把握していない。全国の導入率は令和8年7月末で53.1%。介護情報基盤への統合は令和9年1月を目処、介護ソフトとのAPI連携は令和9年4月以降とされた</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村内の事業所への照会。統合後は新しいシステムでの事業所・管理者の登録を要するため、登録の状況を把握する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1-8の3・施策3-1・施策4-6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都道府県と協定を締結した法人・事業所との連携</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織り込んでいない。市町村の果たすべき役割については引き続き検討することとされた。協定の対象となる法人・事業所も定まっていない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市町村の役割の提示と、県における協定の運用の開始。本村が利用している村外の事業者が協定の対象となるかの確認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引き続き検討することとされた9事項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織り込んでいない（第1号保険料負担の在り方、「一定以上所得」・「現役並み所得」の判断基準、多床室の室料負担、ケアマネジメントに関する給付の在り方、軽度者への生活援助サービス等、被保険者範囲・受給者範囲、金融所得・金融資産の反映、高額介護サービス費の在り方）。結論と施行の時期がいずれも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国における検討の結論。「一定以上所得」の判断基準のみ令和8年度中に結論を得るとされている（1-8の5）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介護サービス事業者経営情報データベース（介護経営DB）の分析結果の活用の可否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用いていない。報告の受付が令和8年10月に再開される段階で、初年度・2年度目の分析の結果は令和9年4月以降に部会に報告される予定。複数サービス・法人単位の報告が全報告の64.0%を占め按分の処理に課題があるとされ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公表される分析結果の区分の単位。村の区域または圏域を単位とする値が得られるかの確認。指標には用いず供給の継続性を把握する情報源として用いる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の提供は令和8年10月に受けました。提供前に挙げていた5点の確認の結果は次のとおりです。①所得段階別の第1号被保険者数は13段階すべてが登録され、補正後被保険者数は3か年3,054人で入っています。②保険料段階は標準の段階区分によるものでした（弾力化の行はすべて空です）。③補正係数（F・G）は入力されていましたが、当方の式による復元はFについて一致しませんでした（5-11）。④地域支援事業費・その他給付費・介護給付費準備基金・予定保険料収納率はいずれも入力されています。⑤令和6・7年度に実績があるのに令和8年度が0で入っているサービスが10件あり、うち6件は令和9年度以降も0です。本村からは、福祉用具購入費・住宅改修費および令和9年4月に新設されるサービスが0で入っていること、全体として暫定の数値であることの申し送りを受けています。受領したワークシートの出力日は令和8年10月5日です。出力日により内容が変わり得るため、資料を差し替える際に取り違えないよう記録しています。</w:t>
      </w:r>
    </w:p>
    <w:p>
      <w:pPr>
        <w:keepNext/>
        <w:keepLines/>
        <w:spacing w:after="100" w:line="300" w:lineRule="exact"/>
      </w:pPr>
      <w:r>
        <w:rPr>
          <w:rFonts w:ascii="游ゴシック" w:cs="游ゴシック" w:eastAsia="游ゴシック" w:hAnsi="游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中山間・人口減少地域（特定地域）の指定を受ける意向と、特定地域サービス・特定地域居宅サービス等事業を活用する意向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では該当する見込みであることと制度の内容が確定していないことを記載し、見込量は0で立てている。指定は村の意向を踏まえて都道府県が定めるため、計画に意向を記載することが手続の起点になる（1-8の4）</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村の判断。最終稿では、指定を希望するか、各制度を活用する意向があるかを記載する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令和5年度の決算で事業費の計上がないため0</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施策1-2の創設の判断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待機者数・村外利用者数の把握後に判断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平成30年度を最後に実績がないため0</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村の指定の判断（施策3-2）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40,000千円（残高42,128千円の94.9%）を本体とし、3つの水準で算定している。条例上の基準額は取崩なし6,600円・24,000千円6,000円・40,000千円5,500円で、いずれも第9期の6,700円を下回る。第11期は逆の向きに動き、取崩なしでは第10期を7.2%下回るが、40,000千円では31.4%上回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村の決定（世代間の負担の公平・推計の誤差への備えに関わる）。第11期の確実な値は国の推計ワークシートを操作した再計算による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第4章・6-3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推進体制</w:t>
      </w:r>
    </w:p>
    <w:p>
      <w:pPr>
        <w:spacing w:after="120" w:line="300" w:lineRule="exact"/>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進捗管理の仕組み</w:t>
      </w:r>
    </w:p>
    <w:p>
      <w:pPr>
        <w:spacing w:after="120" w:line="300" w:lineRule="exact"/>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成果目標及び活動指標</w:t>
      </w:r>
    </w:p>
    <w:p>
      <w:pPr>
        <w:spacing w:after="120" w:line="300" w:lineRule="exact"/>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lineRule="exact"/>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keepNext/>
        <w:keepLines/>
        <w:spacing w:after="100" w:line="300" w:lineRule="exact"/>
      </w:pPr>
      <w:r>
        <w:rPr>
          <w:rFonts w:ascii="游ゴシック" w:cs="游ゴシック" w:eastAsia="游ゴシック" w:hAnsi="游ゴシック"/>
          <w:b/>
          <w:bCs/>
          <w:color w:val="2E75B6"/>
          <w:sz w:val="22"/>
          <w:szCs w:val="22"/>
        </w:rPr>
        <w:t xml:space="preserve">計画への記載により取得をめざす評価指標</w:t>
      </w:r>
    </w:p>
    <w:p>
      <w:pPr>
        <w:spacing w:after="120" w:line="300" w:lineRule="exact"/>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62点あります。これに、32項目の外にある認知症施策推進計画の策定（5点）を加えた12項目・67点の取得を第10期の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 介護人材の確保・定着の取組の成果の公表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67点を取得すると、令和8年度の447点は514点となります。全国平均455.1点を52.9点上回り、全国順位は1,005位から525位、福島県内順位は34位から18位になります（いずれも令和8年度の得点で並べ替えた場合の位置です）。評価指標は毎年度改定されるため実際の得点は変動しますが、取り組む価値のある差です。</w:t>
      </w:r>
    </w:p>
    <w:p>
      <w:pPr>
        <w:keepNext/>
        <w:keepLines/>
        <w:spacing w:after="100" w:line="300" w:lineRule="exact"/>
      </w:pPr>
      <w:r>
        <w:rPr>
          <w:rFonts w:ascii="游ゴシック" w:cs="游ゴシック" w:eastAsia="游ゴシック" w:hAnsi="游ゴシック"/>
          <w:b/>
          <w:bCs/>
          <w:color w:val="2E75B6"/>
          <w:sz w:val="22"/>
          <w:szCs w:val="22"/>
        </w:rPr>
        <w:t xml:space="preserve">残る60点の扱い</w:t>
      </w:r>
    </w:p>
    <w:p>
      <w:pPr>
        <w:spacing w:after="120" w:line="300" w:lineRule="exact"/>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67点は、このうち「計画への記載で取得できる62点」に、32項目の外にある認知症施策推進計画の策定（5点・全国該当率42.8%）を加えたものです。残る60点は次の3区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計画に書くだけで取得できるのは11項目62点です。これに、本計画が認知症施策推進計画を兼ねることにより取得できる5点（全国該当率42.8%のため上の32項目には含まれません）を加えた67点が上表の取得目標にあたり、447点は514点になります。本業務の実施で取得できる4点を含めると518点です。条件付きの33点は事業の実施を伴うため、施策1-2（多様なサービス）・施策4-4（認知症施策）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未取得の139項目482点のすべてを取得の見込みで5つの段に分け、項目ごとに県内の取得団体数を添えた整理を別に作成している（成果品15 交付金の獲得状況と優先順位）。</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計画値と実績値の乖離の検証</w:t>
      </w:r>
    </w:p>
    <w:p>
      <w:pPr>
        <w:spacing w:after="120" w:line="300" w:lineRule="exact"/>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keepNext/>
        <w:keepLines/>
        <w:spacing w:after="100" w:line="300" w:lineRule="exact"/>
      </w:pPr>
      <w:r>
        <w:rPr>
          <w:rFonts w:ascii="游ゴシック" w:cs="游ゴシック" w:eastAsia="游ゴシック" w:hAnsi="游ゴシック"/>
          <w:b/>
          <w:bCs/>
          <w:color w:val="2E75B6"/>
          <w:sz w:val="22"/>
          <w:szCs w:val="22"/>
        </w:rPr>
        <w:t xml:space="preserve">給付適正化と交付金評価の進捗管理</w:t>
      </w:r>
    </w:p>
    <w:p>
      <w:pPr>
        <w:spacing w:after="120" w:line="300" w:lineRule="exact"/>
      </w:pPr>
      <w:r>
        <w:rPr>
          <w:rFonts w:ascii="游ゴシック" w:cs="游ゴシック" w:eastAsia="游ゴシック" w:hAnsi="游ゴシック"/>
          <w:sz w:val="21"/>
          <w:szCs w:val="21"/>
        </w:rPr>
        <w:t xml:space="preserve">上表の4項目に加えて、次の3つを毎年度の検証の対象とします。いずれも6-3の成果目標・活動指標と一体のものです。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主要3事業（要介護認定の適正化／ケアプラン等の点検／医療情報との突合・縦覧点検）の実施状況と定量目標の達成状況（5-8(1)）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目標別の得点と全国・県平均との差。計画への記載により取得をめざした12項目・67点の取得状況。評価結果は策定委員会に報告して検証する（それ自体が評価の要件）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第1号被保険者1人あたり給付費と、国保連の介護給付適正化システムの帳票を活用した点検の実施率（5-8(3)）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⑦は、調整交付金の一定の取組による減額（5-8(3)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管理指標</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数え方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基準となる水準</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判定は下半期の実施率等によるとされているため（5-8(3)）、年間の合計ではなく上半期・下半期に分けて記録します。本村の縦覧点検と医療情報との突合はいずれも全件点検であり、水準を下回る余地は小さいものの、記録が残っていなければ水準を保ったことを示せません。ケアプラン等の点検は令和8年度に初めて得点を得た段階であり（5-8(1)）、件数の記録がとくに必要です。本村が外れ値に該当する可能性は低いと見られますが（5-8(3)）、該当の通知は国から事後に届くため、通知を受けてから記録を作ることはできません。</w:t>
      </w:r>
    </w:p>
    <w:p>
      <w:pPr>
        <w:keepNext/>
        <w:keepLines/>
        <w:spacing w:after="100" w:line="300" w:lineRule="exact"/>
      </w:pPr>
      <w:r>
        <w:rPr>
          <w:rFonts w:ascii="游ゴシック" w:cs="游ゴシック" w:eastAsia="游ゴシック" w:hAnsi="游ゴシック"/>
          <w:b/>
          <w:bCs/>
          <w:color w:val="2E75B6"/>
          <w:sz w:val="22"/>
          <w:szCs w:val="22"/>
        </w:rPr>
        <w:t xml:space="preserve">見直しの目安</w:t>
      </w:r>
    </w:p>
    <w:p>
      <w:pPr>
        <w:spacing w:after="120" w:line="300" w:lineRule="exact"/>
      </w:pPr>
      <w:r>
        <w:rPr>
          <w:rFonts w:ascii="游ゴシック" w:cs="游ゴシック" w:eastAsia="游ゴシック" w:hAnsi="游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計画の見直し</w:t>
      </w:r>
    </w:p>
    <w:p>
      <w:pPr>
        <w:spacing w:after="120" w:line="300" w:lineRule="exact"/>
      </w:pPr>
      <w:r>
        <w:rPr>
          <w:rFonts w:ascii="游ゴシック" w:cs="游ゴシック" w:eastAsia="游ゴシック" w:hAnsi="游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游ゴシック" w:cs="游ゴシック" w:eastAsia="游ゴシック" w:hAnsi="游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　計画の策定経過</w:t>
      </w:r>
    </w:p>
    <w:p>
      <w:pPr>
        <w:spacing w:after="120" w:line="300" w:lineRule="exact"/>
      </w:pPr>
      <w:r>
        <w:rPr>
          <w:rFonts w:ascii="游ゴシック" w:cs="游ゴシック" w:eastAsia="游ゴシック" w:hAnsi="游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策定業務の委託契約（委託第27号）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調査票の回収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パブリックコメントの実施</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議会全員協議会（計画案の説明）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編集注記：第1回策定委員会は本業務の受託前に開催されています。空欄の日付は確定後に記入します。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資2　北塩原村高齢者福祉計画・介護保険事業計画策定委員会</w:t>
      </w:r>
    </w:p>
    <w:p>
      <w:pPr>
        <w:keepNext/>
        <w:keepLines/>
        <w:spacing w:after="100" w:line="300" w:lineRule="exact"/>
      </w:pPr>
      <w:r>
        <w:rPr>
          <w:rFonts w:ascii="游ゴシック" w:cs="游ゴシック" w:eastAsia="游ゴシック" w:hAnsi="游ゴシック"/>
          <w:b/>
          <w:bCs/>
          <w:color w:val="2E75B6"/>
          <w:sz w:val="22"/>
          <w:szCs w:val="22"/>
        </w:rPr>
        <w:t xml:space="preserve">設置の根拠</w:t>
      </w:r>
    </w:p>
    <w:p>
      <w:pPr>
        <w:spacing w:after="120" w:line="300" w:lineRule="exact"/>
      </w:pPr>
      <w:r>
        <w:rPr>
          <w:rFonts w:ascii="游ゴシック" w:cs="游ゴシック" w:eastAsia="游ゴシック" w:hAnsi="游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keepNext/>
        <w:keepLines/>
        <w:spacing w:after="100" w:line="300" w:lineRule="exact"/>
      </w:pPr>
      <w:r>
        <w:rPr>
          <w:rFonts w:ascii="游ゴシック" w:cs="游ゴシック" w:eastAsia="游ゴシック" w:hAnsi="游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2059"/>
        <w:gridCol w:w="206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keepNext/>
        <w:keepLines/>
        <w:spacing w:after="100" w:line="300" w:lineRule="exact"/>
      </w:pPr>
      <w:r>
        <w:rPr>
          <w:rFonts w:ascii="游ゴシック" w:cs="游ゴシック" w:eastAsia="游ゴシック" w:hAnsi="游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246"/>
        <w:gridCol w:w="5991"/>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主な議題</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策定方針、スケジュール</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資3　アンケート調査の概要</w:t>
      </w:r>
    </w:p>
    <w:p>
      <w:pPr>
        <w:spacing w:after="120" w:line="300" w:lineRule="exact"/>
      </w:pPr>
      <w:r>
        <w:rPr>
          <w:rFonts w:ascii="游ゴシック" w:cs="游ゴシック" w:eastAsia="游ゴシック" w:hAnsi="游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931"/>
        <w:gridCol w:w="393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150人</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認定調査員による聞き取り</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令和8年9月〜10月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日から令和8年12月　日まで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郵送、ファクシミリ、電子メール、窓口持参</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3744"/>
        <w:gridCol w:w="131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計画への反映</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編集注記：パブリックコメントの実施後に記入します。行数は意見件数に応じて調整します。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資5　用語の解説</w:t>
      </w:r>
    </w:p>
    <w:p>
      <w:pPr>
        <w:spacing w:after="120" w:line="300" w:lineRule="exact"/>
      </w:pPr>
      <w:r>
        <w:rPr>
          <w:rFonts w:ascii="游ゴシック" w:cs="游ゴシック" w:eastAsia="游ゴシック" w:hAnsi="游ゴシック"/>
          <w:sz w:val="21"/>
          <w:szCs w:val="21"/>
        </w:rPr>
        <w:t xml:space="preserve">本計画で用いている用語のうち、説明を要するものを50音順に整理しました。</w:t>
      </w:r>
    </w:p>
    <w:p>
      <w:pPr>
        <w:keepNext/>
        <w:keepLines/>
        <w:spacing w:after="100" w:line="300" w:lineRule="exact"/>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-8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資6　基本指針の別表「確認すべき指標・状況」への対応</w:t>
      </w:r>
    </w:p>
    <w:p>
      <w:pPr>
        <w:spacing w:after="120" w:line="300" w:lineRule="exact"/>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77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確認すべき指標・状況</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本計画の該当箇所</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1-5、1-8の4、2-1、施策2-1、施策2-6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2-1、2-5、2-8、6-3、施策4-3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2-3、2-8、2-9、5-3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2-4、2-5、5-4、5-8(4)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5-4、5-5、2-10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2-5、5-4(8)、5-4(12)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1-8の1、4-6、5-4(1)、施策2-3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2-6、2-8、5-5、施策1-1、施策1-2、施策4-1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2-5、施策4-3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2-3、4-7、施策4-4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一部の対応にとどまっている事項</w:t>
      </w:r>
    </w:p>
    <w:p>
      <w:pPr>
        <w:spacing w:after="120" w:line="300" w:lineRule="exact"/>
      </w:pPr>
      <w:r>
        <w:rPr>
          <w:rFonts w:ascii="游ゴシック" w:cs="游ゴシック" w:eastAsia="游ゴシック" w:hAnsi="游ゴシック"/>
          <w:sz w:val="21"/>
          <w:szCs w:val="21"/>
        </w:rPr>
        <w:t xml:space="preserve">上表で「一部」とした3事項について、何が対応できていないか、何で代えているかを示します。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事業所数は「見える化」システムのサービス提供事業所数により28サービスすべてについて平成24年度から令和6年度まで把握し、2-5に掲げています。入所率・稼働率は、定員と受給者数から認知症対応型共同生活介護96.3%（令和8年度・県の整備量見込みシート）・通所介護77.8%（令和7年度・当方の算定）として算定し、5-4(5)に掲げています。従事者数は、生産年齢人口比による担い手の枠の試算（5-4(12)）で代えてい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-5）。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施設数・戸数・定員は、指定を受けた事業所について0であることを確かめています（2-5）。要介護者等である入居者の状況は、特定施設入居者生活介護の給付実績により把握できます。本村の第1号被保険者のうち月あたり3.3人が利用しており（令和7年度・5-4(1)）、村外の高齢者向け住まいに介護を受けながら住んでいる方がいることを示します。4-6に村外施設の利用による確保を掲げ、施策2-3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-5に掲げて対応としました。村の給付実績の集計を待たずに確認できた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編集注記：事項六・七については、必要な集計が得られた時点で該当する節に加え、本表の対応の欄を改めます。5-12(1)の据え置いた項目と重なります。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編集注記：事項三は、死亡場所別の3つの系列（L27-a 介護老人保健施設・L27-b 老人ホーム・L27-c 自宅）の出力を受領したため、対応に改めました。単位が人口10万人あたりであることは指標の解説により確かめています。表形式の出力にも実数値は収録されておらず、また収録が令和元年度までであるため、2-5では3つの系列を人口10万人あたりの値のまま掲げ、実数は1人または0人に当たる旨と収録年の限界を注記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資7　主な参照資料</w:t>
      </w:r>
    </w:p>
    <w:p>
      <w:pPr>
        <w:spacing w:after="120" w:line="300" w:lineRule="exact"/>
      </w:pPr>
      <w:r>
        <w:rPr>
          <w:rFonts w:ascii="游ゴシック" w:cs="游ゴシック" w:eastAsia="游ゴシック" w:hAnsi="游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242"/>
        <w:gridCol w:w="2808"/>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用いた箇所</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社会福祉法等の一部を改正する法律（令和8年法律第51号。令和8年6月25日公布）および同法律案要綱（厚生労働省。第221回国会提出法律案）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1-8、資6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社会保障審議会介護保険部会資料（第135回・令和8年6月29日）</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社会保障審議会介護保険部会資料（第136回・令和8年9月18日）資料1〜6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1-8の3、5-7、5-8、5-12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2-1、2-2、5-2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日本の地域別将来推計人口（令和5年推計。国立社会保障・人口問題研究所。福島県の市区町村別ファイル 07.xlsx のシート「7402_北塩原村」）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2-2、5-1、5-11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第9期北塩原村高齢者福祉計画・第9期北塩原村介護保険事業計画（令和6年3月）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2-9、5-1、5-4、4-6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2-3、2-4、2-7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2-3、2-4、2-5、2-6、5-3、5-4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2-8、5-9、6-3</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2-7、5-6、5-7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研究</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科学研究費補助金〈長寿科学政策研究〉「2040年を見据えた地域特性に応じた介護サービス提供体制の最適化と科学的介護の推進に関する調査研究」（研究代表者：陣内裕成）による介護ＳＣＲ（令和8年6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編集注記：各表・各図の出典は本文のそれぞれの箇所に示しています。本表は区分ごとの一覧です。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資8　図表番号一覧</w:t>
      </w:r>
    </w:p>
    <w:p>
      <w:pPr>
        <w:spacing w:after="120" w:line="300" w:lineRule="exact"/>
      </w:pPr>
      <w:r>
        <w:rPr>
          <w:rFonts w:ascii="游ゴシック" w:cs="游ゴシック" w:eastAsia="游ゴシック" w:hAnsi="游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744"/>
        <w:gridCol w:w="1498"/>
        <w:gridCol w:w="318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出典</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性・年齢調整済み認定率の推移（要介護度の区分別）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医療と介護の連携に関する加算の算定率と全国の中での位置</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　地域分析（医療介護連携）</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厚生労働省「介護予防・日常生活支援総合事業（地域支援事業）の実施状況に関する調査」</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厚生労働省「令和8年度評価指標に係る該当状況調査票集計表」</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算定上の保険料月額と条例上の基準額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本計画の算定による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給付適正化の取組別得点の推移（推進交付金 目標Ⅱ）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厚生労働省「評価指標に係る該当状況調査票集計表」（令和6〜8年度）により算定</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資9　関連計画との対照</w:t>
      </w:r>
    </w:p>
    <w:p>
      <w:pPr>
        <w:spacing w:after="120" w:line="300" w:lineRule="exact"/>
      </w:pPr>
      <w:r>
        <w:rPr>
          <w:rFonts w:ascii="游ゴシック" w:cs="游ゴシック" w:eastAsia="游ゴシック" w:hAnsi="游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関連計画</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計画期間</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本計画と重なる事項</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整合のとり方</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介護保険法第117条により整合が義務。会津・南会津区域の記載を確認し施策4-3を組み立てる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年齢に達した方ごとに移行の可否を確かめ、実際に移る分だけを両計画の見込量へ同じ年度に反映する（1-4・施策3-1・施策4-1）。地域の資源は同じであるため実績を共有する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福島県高齢者居住安定確保計画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令和4〜8年度（改定見込み）</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高齢者の住まいの確保、住宅改修・住替えの支援、冬期間の除雪等の支援と集住の促進</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により調和が義務。会津地域の対策（除雪等の支援および集住の促進、住宅セーフティネット制度を活用した家賃等の補助の促進）に即して施策2-3・施策2-6を組み立てる。令和8年度で満了するため改定の内容を確認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保健事業と介護予防の一体的実施（施策1-6）および一般介護予防事業（施策1-3）で連携する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重層的支援体制整備事業の実施状況を確認し、施策2-5・施策4-5・施策4-7と役割を分ける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令和9年度までは本計画と整合を図り、令和10年度以降は第五次（策定予定）と整合を図る。見守りの体制づくりは施策2-5・施策4-5と、生きがい・学習は施策2-2と重なるため所管を明記して連携する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家族介護者の支援（施策4-4）と役割を分ける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本計画が市町村計画を兼ねる位置づけとし（1-2）、施策4-7に記載する。中核機関は会津権利擁護・成年後見センター（会津圏域11市町村）による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44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各年度2人から3人（5-3）</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障がい福祉サービスの受給者・障害支援区分の認定者と重なる方がいるか。若年性認知症の方が含まれるか（4-7(2)）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移行が見込まれる分のみ見込量に算入（5-4）</w:t>
            </w:r>
          </w:p>
        </w:tc>
        <w:tc>
          <w:tcPr>
            <w:tcW w:type="dxa" w:w="44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数ではなく制度の扱いを揃える必要があるものが、ほかに5つあります。いずれも障がい福祉計画の側で整理されており、本計画はその整理に合わせます。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744"/>
        <w:gridCol w:w="374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障がい福祉計画の整理</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ケアマネジメントの担い手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介護保険に移った方の計画相談支援は対象から外れ、居宅介護支援が担う</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居宅介護支援・介護予防支援の見込量に、移行が見込まれる分を算入する（5-4(9)）。障がい福祉計画の計画相談支援の見込量から同じ人数が減る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新高額障害福祉サービス等給付費の対象</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に達する日前5年間にわたる居宅介護・重度訪問介護・生活介護・短期入所の支給決定、市町村民税非課税または生活保護、障害支援区分2以上、65歳に達するまで介護保険の保険給付を受けていないことの4つの要件を満たす方について、介護保険の利用者負担が償還される。償還の対象となる介護保険サービスは、訪問介護・通所介護・短期入所生活介護・地域密着型通所介護・小規模多機能型居宅介護の5種で、介護予防サービスは含まれ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償還は障がい福祉の経費であり、本計画の給付費・保険料には算入しない。ただし申請の窓口は介護保険の担当となるため、該当する方に案内が届くよう、対象となる5種のサービスの利用の状況を障がい福祉担当と共有する（施策4-1）。本村の該当者は未確認</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共生型サービスの事業所</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村内は居宅介護1・重度訪問介護1・生活介護1か所（生活介護は基準該当）</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村内は訪問介護1・通所介護2か所（2-5）。施策3-1の指標にいう「村内3か所」はこの3か所を数えたものである。同一の事業所が両方に現れていないかを事業所番号で名寄せして確かめる（施策3-1）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障害者総合支援法第77条第1項第4号の地域生活支援事業として、障がいのある方への申立費用・報酬の助成を見込む</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第115条の45第3項第3号の地域支援事業（任意事業）であり、対象は低所得の高齢者である。名前は同じでも別の事業であるため、指標名を揃えるのではなく別の事業であることを注記し、両計画の数を足し合わせない（施策4-7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受給者証により決まること</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障害福祉サービス受給者証に記載されるのは、障害支援区分、サービスの種類、支給量、支給決定期間の4つであり、「受給者証区分」という全国共通の区分体系はない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被保険者資格と見込量に関わるのは、障害福祉サービス受給者証（介護給付）・同（訓練等給付）・計画相談支援給付費支給決定通知書・介護保険被保険者証・適用除外施設の入退所の届出である。通所支援受給者証（児童）と自立支援医療受給者証は本計画と接点がない</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村のご確認を前提とします。障がい福祉計画は同時に策定中であり、同計画は第7章に本計画との連携の節を置いています。本計画は1-4と本節がこれに対応するため、障がい福祉担当との協議のうえ記載を揃えます。適用除外となる施設の入所者がいる場合、第1号被保険者数が減り保険料の分母が動きます。人口・高齢化率は、本計画が国立社会保障・人口問題研究所の推計を用い、障がい福祉計画が住民基本台帳の実績を用いています。系列が違うため値も異なります（2-1）。</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資10　中長期的な推計（令和12・17・22年度）</w:t>
      </w:r>
    </w:p>
    <w:p>
      <w:pPr>
        <w:spacing w:after="120" w:line="300" w:lineRule="exact"/>
      </w:pPr>
      <w:r>
        <w:rPr>
          <w:rFonts w:ascii="游ゴシック" w:cs="游ゴシック" w:eastAsia="游ゴシック" w:hAnsi="游ゴシック"/>
          <w:sz w:val="21"/>
          <w:szCs w:val="21"/>
        </w:rPr>
        <w:t xml:space="preserve">介護保険法第117条第2項第3号は、介護給付等対象サービスの種類ごとの量および地域支援事業の量に関する中長期的な推計を定めることを求めています（社会福祉法等の一部を改正する法律（令和8年法律第51号）による追加。令和9年4月1日施行）。改正前はこれらが同条第3項第3号の努力義務でしたが、量に関する部分が義務に改められました。費用の額と保険料の水準に関する中長期的な推計は引き続き同条第3項第3号の努力義務であり、5-11に示しています。5-11には総量と給付費・保険料の見通しを示しており、本節には種類ごとの量と地域支援事業の量を示します。</w:t>
      </w:r>
    </w:p>
    <w:p>
      <w:pPr>
        <w:spacing w:after="120" w:line="300" w:lineRule="exact"/>
      </w:pPr>
      <w:r>
        <w:rPr>
          <w:rFonts w:ascii="游ゴシック" w:cs="游ゴシック" w:eastAsia="游ゴシック" w:hAnsi="游ゴシック"/>
          <w:sz w:val="21"/>
          <w:szCs w:val="21"/>
        </w:rPr>
        <w:t xml:space="preserve">算定は5-3の認定者数の推計に、5-4の受給率と1人あたりの利用量を固定して乗じる方法によります。5-11の見通しと同じ方法です。</w:t>
      </w:r>
    </w:p>
    <w:p>
      <w:pPr>
        <w:spacing w:after="120" w:line="300" w:lineRule="exact"/>
      </w:pPr>
      <w:r>
        <w:rPr>
          <w:rFonts w:ascii="游ゴシック" w:cs="游ゴシック" w:eastAsia="游ゴシック" w:hAnsi="游ゴシック"/>
          <w:sz w:val="21"/>
          <w:szCs w:val="21"/>
        </w:rPr>
        <w:t xml:space="preserve">国の基本指針案は、この推計を「令和22年度（2040年度）を含む中長期的な推計」として求めています。本節は計画期間の最終年度である令和11年度（2029年度）に加え、令和12年度（2030年度）・令和17年度（2035年度）・令和22年度（2040年度）を示しており、令和22年度（2040年度）を含みます。あわせて、同案は推計を定めるに当たり、有料老人ホーム・サービス付き高齢者向け住宅の設置状況と入居定員総数・要介護者等の入居状況、および医療と介護の関係者の連携の状況を勘案することを求めています。本村には該当する住まいがなく（2-5）、県から提供される区域ごとの入居定員総数と連携の状況を受けた時点で反映します（5-12）。</w:t>
      </w:r>
    </w:p>
    <w:p>
      <w:pPr>
        <w:keepNext/>
        <w:keepLines/>
        <w:spacing w:after="100" w:line="300" w:lineRule="exact"/>
      </w:pPr>
      <w:r>
        <w:rPr>
          <w:rFonts w:ascii="游ゴシック" w:cs="游ゴシック" w:eastAsia="游ゴシック" w:hAnsi="游ゴシック"/>
          <w:b/>
          <w:bCs/>
          <w:color w:val="2E75B6"/>
          <w:sz w:val="22"/>
          <w:szCs w:val="22"/>
        </w:rPr>
        <w:t xml:space="preserve">(1) サービスの種類ごとの量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3089"/>
        <w:gridCol w:w="1310"/>
        <w:gridCol w:w="1310"/>
        <w:gridCol w:w="1310"/>
        <w:gridCol w:w="1311"/>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　令和7年度に利用実績のない12種類（訪問リハビリテーション等を除く施設サービスほか）は、5-4と同じく0として整理しています。利用量（回・日）および給付費の中長期の推計は、算定の根拠の綴りに収めています。</w:t>
      </w:r>
    </w:p>
    <w:p>
      <w:pPr>
        <w:keepNext/>
        <w:keepLines/>
        <w:spacing w:after="100" w:line="300" w:lineRule="exact"/>
      </w:pPr>
      <w:r>
        <w:rPr>
          <w:rFonts w:ascii="游ゴシック" w:cs="游ゴシック" w:eastAsia="游ゴシック" w:hAnsi="游ゴシック"/>
          <w:b/>
          <w:bCs/>
          <w:color w:val="2E75B6"/>
          <w:sz w:val="22"/>
          <w:szCs w:val="22"/>
        </w:rPr>
        <w:t xml:space="preserve">(2) 地域支援事業の量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842"/>
        <w:gridCol w:w="1030"/>
        <w:gridCol w:w="1217"/>
        <w:gridCol w:w="1217"/>
        <w:gridCol w:w="1217"/>
        <w:gridCol w:w="1310"/>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は村からの実績の提供を受けていない事業です。提供を受けた時点で同じ方法により算定します。通いの場の箇所数、地域ケア会議の回数、認知症地域支援推進員の数は、村の判断により置く数であるため人口に比例させず据え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介護報酬の改定・制度改正・供給の制約をいずれも織り込まない参考値です。単価は令和5年度から令和7年度の3か年平均で固定しているため、5-4(10)①のとおり趨勢どおり上がる場合は給付費が上表を上回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掲げる中長期的な推計を定め、または変更しようとするときは、あらかじめ都道府県の意見を聴かなければならないこととされています（介護保険法第117条第14項）。意見聴取の時期と様式を県に確認のうえ、1-6の策定の経過に記載します。</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a31bf2657abca3ddedcefc51e6537cce74d87169.png"/><Relationship Id="rId12" Type="http://schemas.openxmlformats.org/officeDocument/2006/relationships/image" Target="media/aaca7e4d3e6729a9885fc43163d7c2240dfb80be.png"/><Relationship Id="rId13" Type="http://schemas.openxmlformats.org/officeDocument/2006/relationships/image" Target="media/008e8fcbefbd3705afac82fe743f2ca91f139deb.png"/><Relationship Id="rId14" Type="http://schemas.openxmlformats.org/officeDocument/2006/relationships/image" Target="media/90b9c337d42e77d8e401fa1d702404fa2f381652.png"/><Relationship Id="rId15" Type="http://schemas.openxmlformats.org/officeDocument/2006/relationships/image" Target="media/9a94b01e6f554a1d66432be79f3a64a9e9bc1f9c.png"/><Relationship Id="rId16" Type="http://schemas.openxmlformats.org/officeDocument/2006/relationships/image" Target="media/c13b382556b6f74f9ef7930895dbca37263895b0.png"/><Relationship Id="rId17" Type="http://schemas.openxmlformats.org/officeDocument/2006/relationships/image" Target="media/262f56d567c7f6e23bdb661e2745c9b3a913147d.png"/><Relationship Id="rId18" Type="http://schemas.openxmlformats.org/officeDocument/2006/relationships/image" Target="media/f76351dfb29c7e5a634222187633582978c20017.png"/><Relationship Id="rId19" Type="http://schemas.openxmlformats.org/officeDocument/2006/relationships/image" Target="media/92f1b47124cf4e73ec60af37d4ed8f9fb1092eb0.png"/><Relationship Id="rId20" Type="http://schemas.openxmlformats.org/officeDocument/2006/relationships/image" Target="media/89c4b901ca057b5ec2c4ad9e0f433cd0471499d9.png"/><Relationship Id="rId21" Type="http://schemas.openxmlformats.org/officeDocument/2006/relationships/image" Target="media/4f2466eeb158b9ba7988356f43e2f29de519e841.png"/><Relationship Id="rId22" Type="http://schemas.openxmlformats.org/officeDocument/2006/relationships/image" Target="media/87448cd60bbda0fc9502757054b25801574e34fd.png"/><Relationship Id="rId23" Type="http://schemas.openxmlformats.org/officeDocument/2006/relationships/image" Target="media/cbb78c187eca48185f18fe45fce903e149e0b421.png"/><Relationship Id="rId24" Type="http://schemas.openxmlformats.org/officeDocument/2006/relationships/image" Target="media/cb6957291fc7637d3ffb43033e56c16964753fff.png"/><Relationship Id="rId25" Type="http://schemas.openxmlformats.org/officeDocument/2006/relationships/image" Target="media/2785cacca571e03bc5aeb55c44e0c3464310859c.png"/><Relationship Id="rId26" Type="http://schemas.openxmlformats.org/officeDocument/2006/relationships/image" Target="media/006169ede3d99dcbe08323d0b0f64868ea020617.png"/><Relationship Id="rId27" Type="http://schemas.openxmlformats.org/officeDocument/2006/relationships/image" Target="media/68f940da84dc8dc4c4d11f4bc2812526e5b77ab6.png"/><Relationship Id="rId28" Type="http://schemas.openxmlformats.org/officeDocument/2006/relationships/image" Target="media/c4aae76f3520550a8d58af86865bd4098163f5c2.png"/><Relationship Id="rId29" Type="http://schemas.openxmlformats.org/officeDocument/2006/relationships/image" Target="media/723447c6cbd7689a1ec64e806ebfe12b499dc876.png"/><Relationship Id="rId30" Type="http://schemas.openxmlformats.org/officeDocument/2006/relationships/image" Target="media/df7397870364abfc987013d01820c8cb4529a44a.png"/><Relationship Id="rId31" Type="http://schemas.openxmlformats.org/officeDocument/2006/relationships/image" Target="media/c869aab66d2f7fa1125ec922fe68d0809f0c95a1.png"/><Relationship Id="rId32" Type="http://schemas.openxmlformats.org/officeDocument/2006/relationships/image" Target="media/9ad0b4fa5d81bd1ad231b6264568683b9b2a55f0.png"/><Relationship Id="rId33" Type="http://schemas.openxmlformats.org/officeDocument/2006/relationships/image" Target="media/3d06d96bb60823e61760997b4189c5da52e8b50c.png"/><Relationship Id="rId34" Type="http://schemas.openxmlformats.org/officeDocument/2006/relationships/image" Target="media/7462f148abc3379be3886a4d187e883489283f96.png"/><Relationship Id="rId35" Type="http://schemas.openxmlformats.org/officeDocument/2006/relationships/image" Target="media/34c4c81f2acaa827e1309a571af62921ca7b7988.png"/><Relationship Id="rId36" Type="http://schemas.openxmlformats.org/officeDocument/2006/relationships/image" Target="media/cbdb7c1cc66d1fa9d322a098c06a3f50febebd10.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2026-10-21T04:32:33.948Z</dcterms:created>
  <dcterms:modified xsi:type="dcterms:W3CDTF">2026-10-21T04:32:33.948Z</dcterms:modified>
</cp:coreProperties>
</file>

<file path=docProps/custom.xml><?xml version="1.0" encoding="utf-8"?>
<Properties xmlns="http://schemas.openxmlformats.org/officeDocument/2006/custom-properties" xmlns:vt="http://schemas.openxmlformats.org/officeDocument/2006/docPropsVTypes"/>
</file>