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游ゴシック" w:cs="游ゴシック" w:eastAsia="游ゴシック" w:hAnsi="游ゴシック"/>
          <w:sz w:val="21"/>
          <w:szCs w:val="21"/>
        </w:rPr>
        <w:t xml:space="preserve"/>
      </w:r>
    </w:p>
    <w:p>
      <w:pPr>
        <w:spacing w:after="160" w:line="300" w:lineRule="exact"/>
        <w:jc w:val="center"/>
      </w:pPr>
      <w:r>
        <w:rPr>
          <w:rFonts w:ascii="游ゴシック" w:cs="游ゴシック" w:eastAsia="游ゴシック" w:hAnsi="游ゴシック"/>
          <w:b/>
          <w:bCs/>
          <w:color w:val="1F3864"/>
          <w:sz w:val="32"/>
          <w:szCs w:val="32"/>
        </w:rPr>
        <w:t xml:space="preserve">第2回 北塩原村高齢者福祉計画・介護保険事業計画</w:t>
      </w:r>
    </w:p>
    <w:p>
      <w:pPr>
        <w:spacing w:after="700" w:line="300" w:lineRule="exact"/>
        <w:jc w:val="center"/>
      </w:pPr>
      <w:r>
        <w:rPr>
          <w:rFonts w:ascii="游ゴシック" w:cs="游ゴシック" w:eastAsia="游ゴシック" w:hAnsi="游ゴシック"/>
          <w:b/>
          <w:bCs/>
          <w:color w:val="1F3864"/>
          <w:sz w:val="32"/>
          <w:szCs w:val="32"/>
        </w:rPr>
        <w:t xml:space="preserve">策定委員会　資料</w:t>
      </w:r>
    </w:p>
    <w:p>
      <w:pPr>
        <w:spacing w:after="1600" w:line="300" w:lineRule="exact"/>
        <w:jc w:val="center"/>
      </w:pPr>
      <w:r>
        <w:rPr>
          <w:rFonts w:ascii="游ゴシック" w:cs="游ゴシック" w:eastAsia="游ゴシック" w:hAnsi="游ゴシック"/>
          <w:sz w:val="24"/>
          <w:szCs w:val="24"/>
        </w:rPr>
        <w:t xml:space="preserve">令和8年11月　開催</w:t>
      </w:r>
    </w:p>
    <w:p>
      <w:pPr>
        <w:spacing w:after="100" w:line="300" w:lineRule="exact"/>
        <w:jc w:val="center"/>
      </w:pPr>
      <w:r>
        <w:rPr>
          <w:rFonts w:ascii="游ゴシック" w:cs="游ゴシック" w:eastAsia="游ゴシック" w:hAnsi="游ゴシック"/>
          <w:sz w:val="24"/>
          <w:szCs w:val="24"/>
        </w:rPr>
        <w:t xml:space="preserve">資料2　第9期計画の進捗と評価</w:t>
      </w:r>
    </w:p>
    <w:p>
      <w:pPr>
        <w:spacing w:after="100" w:line="300" w:lineRule="exact"/>
        <w:jc w:val="center"/>
      </w:pPr>
      <w:r>
        <w:rPr>
          <w:rFonts w:ascii="游ゴシック" w:cs="游ゴシック" w:eastAsia="游ゴシック" w:hAnsi="游ゴシック"/>
          <w:sz w:val="24"/>
          <w:szCs w:val="24"/>
        </w:rPr>
        <w:t xml:space="preserve">資料4　第10期計画の基本理念・基本目標・施策体系（案）</w:t>
      </w:r>
    </w:p>
    <w:p>
      <w:pPr>
        <w:spacing w:after="100" w:line="300" w:lineRule="exact"/>
        <w:jc w:val="center"/>
      </w:pPr>
      <w:r>
        <w:rPr>
          <w:rFonts w:ascii="游ゴシック" w:cs="游ゴシック" w:eastAsia="游ゴシック" w:hAnsi="游ゴシック"/>
          <w:sz w:val="24"/>
          <w:szCs w:val="24"/>
        </w:rPr>
        <w:t xml:space="preserve">資料5　サービス見込み量の考え方（案）</w:t>
      </w:r>
    </w:p>
    <w:p>
      <w:pPr>
        <w:spacing w:after="100" w:line="300" w:lineRule="exact"/>
        <w:jc w:val="center"/>
      </w:pPr>
      <w:r>
        <w:rPr>
          <w:rFonts w:ascii="游ゴシック" w:cs="游ゴシック" w:eastAsia="游ゴシック" w:hAnsi="游ゴシック"/>
          <w:sz w:val="24"/>
          <w:szCs w:val="24"/>
        </w:rPr>
        <w:t xml:space="preserve">資料6　介護保険料の概算シミュレーション</w:t>
      </w:r>
    </w:p>
    <w:p>
      <w:pPr>
        <w:spacing w:after="1600" w:line="300" w:lineRule="exact"/>
        <w:jc w:val="center"/>
      </w:pPr>
      <w:r>
        <w:rPr>
          <w:rFonts w:ascii="游ゴシック" w:cs="游ゴシック" w:eastAsia="游ゴシック" w:hAnsi="游ゴシック"/>
          <w:sz w:val="24"/>
          <w:szCs w:val="24"/>
        </w:rPr>
        <w:t xml:space="preserve">資料7　成果目標・活動指標（案）</w:t>
      </w:r>
    </w:p>
    <w:p>
      <w:pPr>
        <w:spacing w:after="120" w:line="300" w:lineRule="exact"/>
        <w:jc w:val="center"/>
      </w:pPr>
      <w:r>
        <w:rPr>
          <w:rFonts w:ascii="游ゴシック" w:cs="游ゴシック" w:eastAsia="游ゴシック" w:hAnsi="游ゴシック"/>
          <w:sz w:val="24"/>
          <w:szCs w:val="24"/>
        </w:rPr>
        <w:t xml:space="preserve">令和8年　月　日</w:t>
      </w:r>
    </w:p>
    <w:p>
      <w:pPr>
        <w:spacing w:after="0" w:line="300" w:lineRule="exact"/>
        <w:jc w:val="center"/>
      </w:pPr>
      <w:r>
        <w:rPr>
          <w:rFonts w:ascii="游ゴシック" w:cs="游ゴシック" w:eastAsia="游ゴシック" w:hAnsi="游ゴシック"/>
          <w:b/>
          <w:bCs/>
          <w:sz w:val="28"/>
          <w:szCs w:val="28"/>
        </w:rPr>
        <w:t xml:space="preserve">北塩原村</w:t>
      </w:r>
    </w:p>
    <w:p>
      <w:r>
        <w:br w:type="page"/>
      </w:r>
    </w:p>
    <w:p>
      <w:pPr>
        <w:spacing w:after="240" w:line="300" w:lineRule="exact"/>
      </w:pPr>
      <w:r>
        <w:rPr>
          <w:rFonts w:ascii="游ゴシック" w:cs="游ゴシック" w:eastAsia="游ゴシック" w:hAnsi="游ゴシック"/>
          <w:b/>
          <w:bCs/>
          <w:color w:val="1F3864"/>
          <w:sz w:val="28"/>
          <w:szCs w:val="28"/>
        </w:rPr>
        <w:t xml:space="preserve">本資料の見方</w:t>
      </w:r>
    </w:p>
    <w:p>
      <w:pPr>
        <w:spacing w:after="180" w:line="300" w:lineRule="exact"/>
      </w:pPr>
      <w:r>
        <w:rPr>
          <w:rFonts w:ascii="游ゴシック" w:cs="游ゴシック" w:eastAsia="游ゴシック" w:hAnsi="游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表記</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未確定の事項と、その確定の見通しです。</w:t>
            </w:r>
          </w:p>
        </w:tc>
      </w:tr>
    </w:tbl>
    <w:p>
      <w:pPr>
        <w:spacing w:after="200" w:line="300" w:lineRule="exact"/>
      </w:pPr>
      <w:r>
        <w:rPr>
          <w:rFonts w:ascii="游ゴシック" w:cs="游ゴシック" w:eastAsia="游ゴシック" w:hAnsi="游ゴシック"/>
          <w:sz w:val="21"/>
          <w:szCs w:val="21"/>
        </w:rPr>
        <w:t xml:space="preserve"/>
      </w:r>
    </w:p>
    <w:p>
      <w:pPr>
        <w:spacing w:after="180" w:line="300" w:lineRule="exact"/>
      </w:pPr>
      <w:r>
        <w:rPr>
          <w:rFonts w:ascii="游ゴシック" w:cs="游ゴシック" w:eastAsia="游ゴシック" w:hAnsi="游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游ゴシック" w:cs="游ゴシック" w:eastAsia="游ゴシック" w:hAnsi="游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300" w:lineRule="exact"/>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資料1　次第・委員名簿・座席表</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77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1-2　本日ご議論いただきたい事項</w:t>
      </w:r>
    </w:p>
    <w:p>
      <w:pPr>
        <w:spacing w:after="120" w:line="300" w:lineRule="exact"/>
      </w:pPr>
      <w:r>
        <w:rPr>
          <w:rFonts w:ascii="游ゴシック" w:cs="游ゴシック" w:eastAsia="游ゴシック" w:hAnsi="游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449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ご議論いただきたい事項</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1-3　委員名簿</w:t>
      </w:r>
    </w:p>
    <w:p>
      <w:pPr>
        <w:spacing w:after="120" w:line="300" w:lineRule="exact"/>
      </w:pPr>
      <w:r>
        <w:rPr>
          <w:rFonts w:ascii="游ゴシック" w:cs="游ゴシック" w:eastAsia="游ゴシック" w:hAnsi="游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所属</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【記入】</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1-4　座席表</w:t>
      </w:r>
    </w:p>
    <w:p>
      <w:pPr>
        <w:spacing w:after="120" w:line="300" w:lineRule="exact"/>
      </w:pPr>
      <w:r>
        <w:rPr>
          <w:rFonts w:ascii="游ゴシック" w:cs="游ゴシック" w:eastAsia="游ゴシック" w:hAnsi="游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位置</w:t>
            </w:r>
          </w:p>
        </w:tc>
        <w:tc>
          <w:tcPr>
            <w:tcW w:type="dxa" w:w="730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事務局・受託者</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資料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名称</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頁</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事前送付</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155頁あり、分量の制約を置いていない（別冊155頁）。このうち5-12「据え置いている項目の一覧」と編集注記（⚙）を除いた計画書は134頁である。公表する計画書はこれとは別に、第9期計画の目次体系を踏襲して組んでいる。指針・通達・法令による追加のみを加えた結果、分量の削減案を行わない場合は121頁で、村が許容する115頁を6頁上回る。削減案A〜Eを行うと113頁、さらにH・Jを行うと110頁、G・K・Lまで行うと107頁になる（いずれも実測）。どの案を行うかを本委員会でご判断いただきた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資料2　第9期計画の進捗と評価</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2-1　第9期計画の概要</w:t>
      </w:r>
    </w:p>
    <w:p>
      <w:pPr>
        <w:spacing w:after="120" w:line="300" w:lineRule="exact"/>
      </w:pPr>
      <w:r>
        <w:rPr>
          <w:rFonts w:ascii="游ゴシック" w:cs="游ゴシック" w:eastAsia="游ゴシック" w:hAnsi="游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第9期の施策体系には進捗管理の記述がありません</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2-2　施策の達成状況</w:t>
      </w:r>
    </w:p>
    <w:p>
      <w:pPr>
        <w:spacing w:after="120" w:line="300" w:lineRule="exact"/>
      </w:pPr>
      <w:r>
        <w:rPr>
          <w:rFonts w:ascii="游ゴシック" w:cs="游ゴシック" w:eastAsia="游ゴシック" w:hAnsi="游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63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意味</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判定</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2-3　計画値と実績の乖離</w:t>
      </w:r>
    </w:p>
    <w:p>
      <w:pPr>
        <w:spacing w:after="120" w:line="300" w:lineRule="exact"/>
      </w:pPr>
      <w:r>
        <w:rPr>
          <w:rFonts w:ascii="游ゴシック" w:cs="游ゴシック" w:eastAsia="游ゴシック" w:hAnsi="游ゴシック"/>
          <w:sz w:val="21"/>
          <w:szCs w:val="21"/>
        </w:rPr>
        <w:t xml:space="preserve">第9期の計画値と実績を突き合わせたところ、次の乖離が確認されました。</w:t>
      </w:r>
    </w:p>
    <w:p>
      <w:pPr>
        <w:keepNext/>
        <w:keepLines/>
        <w:spacing w:after="100" w:line="300" w:lineRule="exact"/>
      </w:pPr>
      <w:r>
        <w:rPr>
          <w:rFonts w:ascii="游ゴシック" w:cs="游ゴシック" w:eastAsia="游ゴシック" w:hAnsi="游ゴシック"/>
          <w:b/>
          <w:bCs/>
          <w:color w:val="2E75B6"/>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87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社人研推計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実績（住基）</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＋76人（8.1%）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游ゴシック" w:cs="游ゴシック" w:eastAsia="游ゴシック" w:hAnsi="游ゴシック"/>
          <w:b/>
          <w:bCs/>
          <w:color w:val="2E75B6"/>
          <w:sz w:val="22"/>
          <w:szCs w:val="22"/>
        </w:rPr>
        <w:t xml:space="preserve">(2) 要介護度別では大きくずれています</w:t>
      </w:r>
    </w:p>
    <w:p>
      <w:pPr>
        <w:spacing w:after="120" w:line="300" w:lineRule="exact"/>
      </w:pPr>
      <w:r>
        <w:rPr>
          <w:rFonts w:ascii="游ゴシック" w:cs="游ゴシック" w:eastAsia="游ゴシック" w:hAnsi="游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計画値</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実績（推計）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概ね一致</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游ゴシック" w:cs="游ゴシック" w:eastAsia="游ゴシック" w:hAnsi="游ゴシック"/>
          <w:b/>
          <w:bCs/>
          <w:color w:val="2E75B6"/>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保険料基準額と必要保険料額の差（期間計）</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余剰が継続</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游ゴシック" w:cs="游ゴシック" w:eastAsia="游ゴシック" w:hAnsi="游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2-4　保険者機能の評価</w:t>
      </w:r>
    </w:p>
    <w:p>
      <w:pPr>
        <w:spacing w:after="120" w:line="300" w:lineRule="exact"/>
      </w:pPr>
      <w:r>
        <w:rPr>
          <w:rFonts w:ascii="游ゴシック" w:cs="游ゴシック" w:eastAsia="游ゴシック" w:hAnsi="游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游ゴシック" w:cs="游ゴシック" w:eastAsia="游ゴシック" w:hAnsi="游ゴシック"/>
          <w:b/>
          <w:bCs/>
          <w:color w:val="2E75B6"/>
          <w:sz w:val="22"/>
          <w:szCs w:val="22"/>
        </w:rPr>
        <w:t xml:space="preserve">3か年の推移を項目ごとにみると</w:t>
      </w:r>
    </w:p>
    <w:p>
      <w:pPr>
        <w:spacing w:after="120" w:line="300" w:lineRule="exact"/>
      </w:pPr>
      <w:r>
        <w:rPr>
          <w:rFonts w:ascii="游ゴシック" w:cs="游ゴシック" w:eastAsia="游ゴシック" w:hAnsi="游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得点計 146点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游ゴシック" w:cs="游ゴシック" w:eastAsia="游ゴシック" w:hAnsi="游ゴシック"/>
          <w:b/>
          <w:bCs/>
          <w:color w:val="2E75B6"/>
          <w:sz w:val="22"/>
          <w:szCs w:val="22"/>
        </w:rPr>
        <w:t xml:space="preserve">目標別の得点の推移</w:t>
      </w:r>
    </w:p>
    <w:p>
      <w:pPr>
        <w:spacing w:after="120" w:line="300" w:lineRule="exact"/>
      </w:pPr>
      <w:r>
        <w:rPr>
          <w:rFonts w:ascii="游ゴシック" w:cs="游ゴシック" w:eastAsia="游ゴシック" w:hAnsi="游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交付金・目標（各100点）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游ゴシック" w:cs="游ゴシック" w:eastAsia="游ゴシック" w:hAnsi="游ゴシック"/>
          <w:b/>
          <w:bCs/>
          <w:color w:val="2E75B6"/>
          <w:sz w:val="22"/>
          <w:szCs w:val="22"/>
        </w:rPr>
        <w:t xml:space="preserve">目標別にみると</w:t>
      </w:r>
    </w:p>
    <w:p>
      <w:pPr>
        <w:spacing w:after="120" w:line="300" w:lineRule="exact"/>
      </w:pPr>
      <w:r>
        <w:rPr>
          <w:rFonts w:ascii="游ゴシック" w:cs="游ゴシック" w:eastAsia="游ゴシック" w:hAnsi="游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県平均</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1,477位</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県内の中央値と比べると、遅れているのは2目標だけです</w:t>
      </w:r>
    </w:p>
    <w:p>
      <w:pPr>
        <w:spacing w:after="120" w:line="300" w:lineRule="exact"/>
      </w:pPr>
      <w:r>
        <w:rPr>
          <w:rFonts w:ascii="游ゴシック" w:cs="游ゴシック" w:eastAsia="游ゴシック" w:hAnsi="游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県中央値</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4項目 30点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游ゴシック" w:cs="游ゴシック" w:eastAsia="游ゴシック" w:hAnsi="游ゴシック"/>
          <w:b/>
          <w:bCs/>
          <w:color w:val="2E75B6"/>
          <w:sz w:val="22"/>
          <w:szCs w:val="22"/>
        </w:rPr>
        <w:t xml:space="preserve">福島県の評価と重ねると</w:t>
      </w:r>
    </w:p>
    <w:p>
      <w:pPr>
        <w:spacing w:after="120" w:line="300" w:lineRule="exact"/>
      </w:pPr>
      <w:r>
        <w:rPr>
          <w:rFonts w:ascii="游ゴシック" w:cs="游ゴシック" w:eastAsia="游ゴシック" w:hAnsi="游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政策領域</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福島県の差</w:t>
            </w:r>
          </w:p>
        </w:tc>
        <w:tc>
          <w:tcPr>
            <w:tcW w:type="dxa" w:w="280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游ゴシック" w:cs="游ゴシック" w:eastAsia="游ゴシック" w:hAnsi="游ゴシック"/>
          <w:b/>
          <w:bCs/>
          <w:color w:val="2E75B6"/>
          <w:sz w:val="22"/>
          <w:szCs w:val="22"/>
        </w:rPr>
        <w:t xml:space="preserve">悪化した115点のうち、村の取組の後退は15点です</w:t>
      </w:r>
    </w:p>
    <w:p>
      <w:pPr>
        <w:spacing w:after="120" w:line="300" w:lineRule="exact"/>
      </w:pPr>
      <w:r>
        <w:rPr>
          <w:rFonts w:ascii="游ゴシック" w:cs="游ゴシック" w:eastAsia="游ゴシック" w:hAnsi="游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推移</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游ゴシック" w:cs="游ゴシック" w:eastAsia="游ゴシック" w:hAnsi="游ゴシック"/>
          <w:b/>
          <w:bCs/>
          <w:color w:val="2E75B6"/>
          <w:sz w:val="22"/>
          <w:szCs w:val="22"/>
        </w:rPr>
        <w:t xml:space="preserve">成果指標群（目標Ⅳ）は令和8年度に低下しました</w:t>
      </w:r>
    </w:p>
    <w:p>
      <w:pPr>
        <w:spacing w:after="120" w:line="300" w:lineRule="exact"/>
      </w:pPr>
      <w:r>
        <w:rPr>
          <w:rFonts w:ascii="游ゴシック" w:cs="游ゴシック" w:eastAsia="游ゴシック" w:hAnsi="游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游ゴシック" w:cs="游ゴシック" w:eastAsia="游ゴシック" w:hAnsi="游ゴシック"/>
          <w:b/>
          <w:bCs/>
          <w:color w:val="2E75B6"/>
          <w:sz w:val="22"/>
          <w:szCs w:val="22"/>
        </w:rPr>
        <w:t xml:space="preserve">全国の多くの市町村が取得している項目のうち、未取得のもの</w:t>
      </w:r>
    </w:p>
    <w:p>
      <w:pPr>
        <w:spacing w:after="120" w:line="300" w:lineRule="exact"/>
      </w:pPr>
      <w:r>
        <w:rPr>
          <w:rFonts w:ascii="游ゴシック" w:cs="游ゴシック" w:eastAsia="游ゴシック" w:hAnsi="游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50.0〜70.0%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2-5　第9期の課題（要約）</w:t>
      </w:r>
    </w:p>
    <w:p>
      <w:pPr>
        <w:spacing w:after="120" w:line="300" w:lineRule="exact"/>
      </w:pPr>
      <w:r>
        <w:rPr>
          <w:rFonts w:ascii="游ゴシック" w:cs="游ゴシック" w:eastAsia="游ゴシック" w:hAnsi="游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05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村外施設の利用実績に即した記述に改める</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資料3　アンケート調査結果（速報）</w:t>
      </w:r>
    </w:p>
    <w:p>
      <w:pPr>
        <w:spacing w:after="120" w:line="300" w:lineRule="exact"/>
      </w:pPr>
      <w:r>
        <w:rPr>
          <w:rFonts w:ascii="游ゴシック" w:cs="游ゴシック" w:eastAsia="游ゴシック" w:hAnsi="游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游ゴシック" w:cs="游ゴシック" w:eastAsia="游ゴシック" w:hAnsi="游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游ゴシック" w:cs="游ゴシック" w:eastAsia="游ゴシック" w:hAnsi="游ゴシック"/>
          <w:b/>
          <w:bCs/>
          <w:color w:val="2E75B6"/>
          <w:sz w:val="22"/>
          <w:szCs w:val="22"/>
        </w:rPr>
        <w:t xml:space="preserve">割合の分母について（本資料に共通する約束ごと）</w:t>
      </w:r>
    </w:p>
    <w:p>
      <w:pPr>
        <w:spacing w:after="120" w:line="300" w:lineRule="exact"/>
      </w:pPr>
      <w:r>
        <w:rPr>
          <w:rFonts w:ascii="游ゴシック" w:cs="游ゴシック" w:eastAsia="游ゴシック" w:hAnsi="游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7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游ゴシック" w:cs="游ゴシック" w:eastAsia="游ゴシック" w:hAnsi="游ゴシック"/>
          <w:b/>
          <w:bCs/>
          <w:color w:val="2E75B6"/>
          <w:sz w:val="22"/>
          <w:szCs w:val="22"/>
        </w:rPr>
        <w:t xml:space="preserve">地区別の回収状況</w:t>
      </w:r>
    </w:p>
    <w:p>
      <w:pPr>
        <w:spacing w:after="120" w:line="300" w:lineRule="exact"/>
      </w:pPr>
      <w:r>
        <w:rPr>
          <w:rFonts w:ascii="游ゴシック" w:cs="游ゴシック" w:eastAsia="游ゴシック" w:hAnsi="游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回収率</w:t>
            </w:r>
          </w:p>
        </w:tc>
        <w:tc>
          <w:tcPr>
            <w:tcW w:type="dxa" w:w="355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883人／57.6%</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游ゴシック" w:cs="游ゴシック" w:eastAsia="游ゴシック" w:hAnsi="游ゴシック"/>
          <w:b/>
          <w:bCs/>
          <w:color w:val="2E75B6"/>
          <w:sz w:val="22"/>
          <w:szCs w:val="22"/>
        </w:rPr>
        <w:t xml:space="preserve">対象者の属性（回収の偏りを見るための基準）</w:t>
      </w:r>
    </w:p>
    <w:p>
      <w:pPr>
        <w:spacing w:after="120" w:line="300" w:lineRule="exact"/>
      </w:pPr>
      <w:r>
        <w:rPr>
          <w:rFonts w:ascii="游ゴシック" w:cs="游ゴシック" w:eastAsia="游ゴシック" w:hAnsi="游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65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ニーズ調査（882人）</w:t>
            </w:r>
          </w:p>
        </w:tc>
        <w:tc>
          <w:tcPr>
            <w:tcW w:type="dxa" w:w="365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82人（69.5%）</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游ゴシック" w:cs="游ゴシック" w:eastAsia="游ゴシック" w:hAnsi="游ゴシック"/>
          <w:b/>
          <w:bCs/>
          <w:color w:val="2E75B6"/>
          <w:sz w:val="22"/>
          <w:szCs w:val="22"/>
        </w:rPr>
        <w:t xml:space="preserve">回答方法別の状況（第10期の新規）</w:t>
      </w:r>
    </w:p>
    <w:p>
      <w:pPr>
        <w:spacing w:after="120" w:line="300" w:lineRule="exact"/>
      </w:pPr>
      <w:r>
        <w:rPr>
          <w:rFonts w:ascii="游ゴシック" w:cs="游ゴシック" w:eastAsia="游ゴシック" w:hAnsi="游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回答方法</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この表の構成比の分母は回収した票の総数である。3-0の約束ごと1の例外にあたり、設問の集計にこの分母は用いない。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3-2　生活機能からみた高齢者の姿</w:t>
      </w:r>
    </w:p>
    <w:p>
      <w:pPr>
        <w:spacing w:after="120" w:line="300" w:lineRule="exact"/>
      </w:pPr>
      <w:r>
        <w:rPr>
          <w:rFonts w:ascii="游ゴシック" w:cs="游ゴシック" w:eastAsia="游ゴシック" w:hAnsi="游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疾病の数</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3-3　元気な軽度者はどれくらいいるか</w:t>
      </w:r>
    </w:p>
    <w:p>
      <w:pPr>
        <w:spacing w:after="120" w:line="300" w:lineRule="exact"/>
      </w:pPr>
      <w:r>
        <w:rPr>
          <w:rFonts w:ascii="游ゴシック" w:cs="游ゴシック" w:eastAsia="游ゴシック" w:hAnsi="游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認定の状況</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リスク該当0領域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1〜2領域</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3領域以上</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3-4　生活機能からみた4つの層</w:t>
      </w:r>
    </w:p>
    <w:p>
      <w:pPr>
        <w:spacing w:after="120" w:line="300" w:lineRule="exact"/>
      </w:pPr>
      <w:r>
        <w:rPr>
          <w:rFonts w:ascii="游ゴシック" w:cs="游ゴシック" w:eastAsia="游ゴシック" w:hAnsi="游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定義</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施策上の位置づけ</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12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游ゴシック" w:cs="游ゴシック" w:eastAsia="游ゴシック" w:hAnsi="游ゴシック"/>
          <w:b/>
          <w:bCs/>
          <w:color w:val="2E75B6"/>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第2層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第3層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第4層</w:t>
            </w:r>
          </w:p>
        </w:tc>
        <w:tc>
          <w:tcPr>
            <w:tcW w:type="dxa" w:w="14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3-5　支え合いの現状と孤立</w:t>
      </w:r>
    </w:p>
    <w:p>
      <w:pPr>
        <w:spacing w:after="120" w:line="300" w:lineRule="exact"/>
      </w:pPr>
      <w:r>
        <w:rPr>
          <w:rFonts w:ascii="游ゴシック" w:cs="游ゴシック" w:eastAsia="游ゴシック" w:hAnsi="游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支援を提供している</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提供していない</w:t>
            </w:r>
          </w:p>
        </w:tc>
        <w:tc>
          <w:tcPr>
            <w:tcW w:type="dxa" w:w="205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游ゴシック" w:cs="游ゴシック" w:eastAsia="游ゴシック" w:hAnsi="游ゴシック"/>
          <w:b/>
          <w:bCs/>
          <w:color w:val="2E75B6"/>
          <w:sz w:val="22"/>
          <w:szCs w:val="22"/>
        </w:rPr>
        <w:t xml:space="preserve">独居・高齢者のみ世帯の状況</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世帯の状況</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3-6　担い手の可能性</w:t>
      </w:r>
    </w:p>
    <w:p>
      <w:pPr>
        <w:spacing w:after="120" w:line="300" w:lineRule="exact"/>
      </w:pPr>
      <w:r>
        <w:rPr>
          <w:rFonts w:ascii="游ゴシック" w:cs="游ゴシック" w:eastAsia="游ゴシック" w:hAnsi="游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参加者として参加したい</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企画・運営（お世話役）として参加したい</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参加したくない</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游ゴシック" w:cs="游ゴシック" w:eastAsia="游ゴシック" w:hAnsi="游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参加意向あり</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うち企画・運営も可</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最も有力な候補</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3-7　地区別の課題（移動・除雪）</w:t>
      </w:r>
    </w:p>
    <w:p>
      <w:pPr>
        <w:spacing w:after="120" w:line="300" w:lineRule="exact"/>
      </w:pPr>
      <w:r>
        <w:rPr>
          <w:rFonts w:ascii="游ゴシック" w:cs="游ゴシック" w:eastAsia="游ゴシック" w:hAnsi="游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地区</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外出時の主な移動手段（自分で運転）</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外出を控えている</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今後必要な支援（除雪）</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3-8　在宅生活の継続に必要な支援</w:t>
      </w:r>
    </w:p>
    <w:p>
      <w:pPr>
        <w:spacing w:after="120" w:line="300" w:lineRule="exact"/>
      </w:pPr>
      <w:r>
        <w:rPr>
          <w:rFonts w:ascii="游ゴシック" w:cs="游ゴシック" w:eastAsia="游ゴシック" w:hAnsi="游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設問</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主な回答</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游ゴシック" w:cs="游ゴシック" w:eastAsia="游ゴシック" w:hAnsi="游ゴシック"/>
          <w:b/>
          <w:bCs/>
          <w:color w:val="2E75B6"/>
          <w:sz w:val="22"/>
          <w:szCs w:val="22"/>
        </w:rPr>
        <w:t xml:space="preserve">施設入所の検討状況と村内施設の有無</w:t>
      </w:r>
    </w:p>
    <w:p>
      <w:pPr>
        <w:spacing w:after="120" w:line="300" w:lineRule="exact"/>
      </w:pPr>
      <w:r>
        <w:rPr>
          <w:rFonts w:ascii="游ゴシック" w:cs="游ゴシック" w:eastAsia="游ゴシック" w:hAnsi="游ゴシック"/>
          <w:sz w:val="21"/>
          <w:szCs w:val="21"/>
        </w:rPr>
        <w:t xml:space="preserve">村内に入所できる施設がある場合に利用したいかを尋ねています。施設整備を第10期の議論の対象とするか（合意5）の判断材料です。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入所・入居の検討状況</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336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游ゴシック" w:cs="游ゴシック" w:eastAsia="游ゴシック" w:hAnsi="游ゴシック"/>
          <w:b/>
          <w:bCs/>
          <w:color w:val="2E75B6"/>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要介護度</w:t>
            </w:r>
          </w:p>
        </w:tc>
        <w:tc>
          <w:tcPr>
            <w:tcW w:type="dxa" w:w="159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対象者数（名簿）</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回収数</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うちB票の回答</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就労を続けられる</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【集計後】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3-9　調査から見えた課題</w:t>
      </w:r>
    </w:p>
    <w:p>
      <w:pPr>
        <w:spacing w:after="120" w:line="300" w:lineRule="exact"/>
      </w:pPr>
      <w:r>
        <w:rPr>
          <w:rFonts w:ascii="游ゴシック" w:cs="游ゴシック" w:eastAsia="游ゴシック" w:hAnsi="游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課題（案）</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調査での根拠</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4-6・家族介護者支援</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課題の文言は集計結果により修正する。数値が想定と異なる場合は課題の順序も入れ替える。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資料4　第10期計画の基本理念・基本目標・施策体系（案）</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游ゴシック" w:cs="游ゴシック" w:eastAsia="游ゴシック" w:hAnsi="游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論点</w:t>
            </w:r>
          </w:p>
        </w:tc>
        <w:tc>
          <w:tcPr>
            <w:tcW w:type="dxa" w:w="299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4-4・4-5</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4-1　第9期の基本理念と基本目標（振り返り）</w:t>
      </w:r>
    </w:p>
    <w:p>
      <w:pPr>
        <w:spacing w:after="120" w:line="300" w:lineRule="exact"/>
      </w:pPr>
      <w:r>
        <w:rPr>
          <w:rFonts w:ascii="游ゴシック" w:cs="游ゴシック" w:eastAsia="游ゴシック" w:hAnsi="游ゴシック"/>
          <w:sz w:val="21"/>
          <w:szCs w:val="21"/>
        </w:rPr>
        <w:t xml:space="preserve">第9期計画は、次の基本理念のもとに4つの基本目標を掲げていました。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第9期の基本目標</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施策数</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施策体系に記述なし。乖離分析が3年連続0点</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4-2　第10期の基本理念（案）</w:t>
      </w:r>
    </w:p>
    <w:p>
      <w:pPr>
        <w:keepNext/>
        <w:keepLines/>
        <w:spacing w:after="100" w:line="300" w:lineRule="exact"/>
      </w:pPr>
      <w:r>
        <w:rPr>
          <w:rFonts w:ascii="游ゴシック" w:cs="游ゴシック" w:eastAsia="游ゴシック" w:hAnsi="游ゴシック"/>
          <w:b/>
          <w:bCs/>
          <w:color w:val="2E75B6"/>
          <w:sz w:val="22"/>
          <w:szCs w:val="22"/>
        </w:rPr>
        <w:t xml:space="preserve">案A　第9期の基本理念を継承する（推奨）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「結」のこころを持って支え合う地域共生社会</w:t>
      </w:r>
      <w:r>
        <w:rPr>
          <w:rFonts w:ascii="游ゴシック" w:cs="游ゴシック" w:eastAsia="游ゴシック" w:hAnsi="游ゴシック"/>
          <w:b/>
          <w:bCs/>
          <w:sz w:val="20"/>
          <w:szCs w:val="20"/>
        </w:rPr>
        <w:br/>
        <w:t xml:space="preserve">自分らしくあなたらしく　笑顔で暮らし輝き続ける　北塩原村</w:t>
      </w:r>
    </w:p>
    <w:p>
      <w:pPr>
        <w:spacing w:after="120" w:line="300" w:lineRule="exact"/>
      </w:pPr>
      <w:r>
        <w:rPr>
          <w:rFonts w:ascii="游ゴシック" w:cs="游ゴシック" w:eastAsia="游ゴシック" w:hAnsi="游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游ゴシック" w:cs="游ゴシック" w:eastAsia="游ゴシック" w:hAnsi="游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案B　基本理念を継承したうえで、副題を加える</w:t>
      </w:r>
    </w:p>
    <w:p>
      <w:pPr>
        <w:spacing w:after="120" w:line="300" w:lineRule="exact"/>
      </w:pPr>
      <w:r>
        <w:rPr>
          <w:rFonts w:ascii="游ゴシック" w:cs="游ゴシック" w:eastAsia="游ゴシック" w:hAnsi="游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副題の例</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元気な高齢者の社会参加を前面に出す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游ゴシック" w:cs="游ゴシック" w:eastAsia="游ゴシック" w:hAnsi="游ゴシック"/>
          <w:b/>
          <w:bCs/>
          <w:color w:val="2E75B6"/>
          <w:sz w:val="22"/>
          <w:szCs w:val="22"/>
        </w:rPr>
        <w:t xml:space="preserve">いずれの案でも留意すべきこと</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4-3　基本目標（案）</w:t>
      </w:r>
    </w:p>
    <w:p>
      <w:pPr>
        <w:spacing w:after="120" w:line="300" w:lineRule="exact"/>
      </w:pPr>
      <w:r>
        <w:rPr>
          <w:rFonts w:ascii="游ゴシック" w:cs="游ゴシック" w:eastAsia="游ゴシック" w:hAnsi="游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基本目標（案）</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新設</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基本目標5を新設する理由</w:t>
      </w:r>
    </w:p>
    <w:p>
      <w:pPr>
        <w:spacing w:after="120" w:line="300" w:lineRule="exact"/>
      </w:pPr>
      <w:r>
        <w:rPr>
          <w:rFonts w:ascii="游ゴシック" w:cs="游ゴシック" w:eastAsia="游ゴシック" w:hAnsi="游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游ゴシック" w:cs="游ゴシック" w:eastAsia="游ゴシック" w:hAnsi="游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游ゴシック" w:cs="游ゴシック" w:eastAsia="游ゴシック" w:hAnsi="游ゴシック"/>
          <w:b/>
          <w:bCs/>
          <w:color w:val="2E75B6"/>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重点</w:t>
            </w:r>
          </w:p>
        </w:tc>
        <w:tc>
          <w:tcPr>
            <w:tcW w:type="dxa" w:w="542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課題3・4</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4-4　施策の体系（案）</w:t>
      </w:r>
    </w:p>
    <w:p>
      <w:pPr>
        <w:spacing w:after="120" w:line="300" w:lineRule="exact"/>
      </w:pPr>
      <w:r>
        <w:rPr>
          <w:rFonts w:ascii="游ゴシック" w:cs="游ゴシック" w:eastAsia="游ゴシック" w:hAnsi="游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5267325" cy="8505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67325" cy="8505825"/>
                    </a:xfrm>
                    <a:prstGeom prst="rect">
                      <a:avLst/>
                    </a:prstGeom>
                  </pic:spPr>
                </pic:pic>
              </a:graphicData>
            </a:graphic>
          </wp:inline>
        </w:drawing>
      </w:r>
    </w:p>
    <w:p>
      <w:pPr>
        <w:keepNext/>
        <w:keepLines/>
        <w:spacing w:after="200"/>
        <w:jc w:val="center"/>
      </w:pPr>
      <w:r>
        <w:rPr>
          <w:rFonts w:ascii="游ゴシック" w:cs="游ゴシック" w:eastAsia="游ゴシック" w:hAnsi="游ゴシック"/>
          <w:b/>
          <w:bCs/>
          <w:color w:val="1F3864"/>
          <w:sz w:val="18"/>
          <w:szCs w:val="18"/>
        </w:rPr>
        <w:t xml:space="preserve">図　施策の体系（案）</w:t>
      </w:r>
    </w:p>
    <w:p>
      <w:pPr>
        <w:spacing w:after="120" w:line="300" w:lineRule="exact"/>
      </w:pPr>
      <w:r>
        <w:rPr>
          <w:rFonts w:ascii="游ゴシック" w:cs="游ゴシック" w:eastAsia="游ゴシック" w:hAnsi="游ゴシック"/>
          <w:sz w:val="21"/>
          <w:szCs w:val="21"/>
        </w:rPr>
        <w:t xml:space="preserve">以下、基本目標ごとに施策のねらいを示します。</w:t>
      </w:r>
    </w:p>
    <w:p>
      <w:pPr>
        <w:keepNext/>
        <w:keepLines/>
        <w:spacing w:after="100" w:line="300" w:lineRule="exact"/>
      </w:pPr>
      <w:r>
        <w:rPr>
          <w:rFonts w:ascii="游ゴシック" w:cs="游ゴシック" w:eastAsia="游ゴシック" w:hAnsi="游ゴシック"/>
          <w:b/>
          <w:bCs/>
          <w:color w:val="2E75B6"/>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第9期の水準を維持</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游ゴシック" w:cs="游ゴシック" w:eastAsia="游ゴシック" w:hAnsi="游ゴシック"/>
          <w:b/>
          <w:bCs/>
          <w:color w:val="2E75B6"/>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住民ニーズ第1位。第9期に独立した施策がなかった</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主要3事業。縦覧点検4帳票は3年連続で満点</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游ゴシック" w:cs="游ゴシック" w:eastAsia="游ゴシック" w:hAnsi="游ゴシック"/>
          <w:b/>
          <w:bCs/>
          <w:color w:val="2E75B6"/>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独居高齢者の増加を見据えた体制づくり</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468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国の評価指標と計画の指標を一致させる</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4-5　第9期からの変更点</w:t>
      </w:r>
    </w:p>
    <w:p>
      <w:pPr>
        <w:spacing w:after="120" w:line="300" w:lineRule="exact"/>
      </w:pPr>
      <w:r>
        <w:rPr>
          <w:rFonts w:ascii="游ゴシック" w:cs="游ゴシック" w:eastAsia="游ゴシック" w:hAnsi="游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件数</w:t>
            </w:r>
          </w:p>
        </w:tc>
        <w:tc>
          <w:tcPr>
            <w:tcW w:type="dxa" w:w="692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（第9期は19施策）</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施策</w:t>
            </w:r>
          </w:p>
        </w:tc>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4-6　関連計画との整合</w:t>
      </w:r>
    </w:p>
    <w:p>
      <w:pPr>
        <w:spacing w:after="120" w:line="300" w:lineRule="exact"/>
      </w:pPr>
      <w:r>
        <w:rPr>
          <w:rFonts w:ascii="游ゴシック" w:cs="游ゴシック" w:eastAsia="游ゴシック" w:hAnsi="游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関連計画</w:t>
            </w:r>
          </w:p>
        </w:tc>
        <w:tc>
          <w:tcPr>
            <w:tcW w:type="dxa" w:w="599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高齢者の学習・スポーツ・文化活動、社会参加</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游ゴシック" w:cs="游ゴシック" w:eastAsia="游ゴシック" w:hAnsi="游ゴシック"/>
          <w:b/>
          <w:bCs/>
          <w:color w:val="2E75B6"/>
          <w:sz w:val="22"/>
          <w:szCs w:val="22"/>
        </w:rPr>
        <w:t xml:space="preserve">生涯学習推進計画との施策の重複について</w:t>
      </w:r>
    </w:p>
    <w:p>
      <w:pPr>
        <w:spacing w:after="120" w:line="300" w:lineRule="exact"/>
      </w:pPr>
      <w:r>
        <w:rPr>
          <w:rFonts w:ascii="游ゴシック" w:cs="游ゴシック" w:eastAsia="游ゴシック" w:hAnsi="游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游ゴシック" w:cs="游ゴシック" w:eastAsia="游ゴシック" w:hAnsi="游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資料5　サービス見込み量の考え方（案）</w:t>
      </w:r>
    </w:p>
    <w:p>
      <w:pPr>
        <w:spacing w:after="120" w:line="300" w:lineRule="exact"/>
      </w:pPr>
      <w:r>
        <w:rPr>
          <w:rFonts w:ascii="游ゴシック" w:cs="游ゴシック" w:eastAsia="游ゴシック" w:hAnsi="游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節</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資料の受領を待って確定</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5-1　推計の手順と前提</w:t>
      </w:r>
    </w:p>
    <w:p>
      <w:pPr>
        <w:spacing w:after="120" w:line="300" w:lineRule="exact"/>
      </w:pPr>
      <w:r>
        <w:rPr>
          <w:rFonts w:ascii="游ゴシック" w:cs="游ゴシック" w:eastAsia="游ゴシック" w:hAnsi="游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★現行単価で試算し、報酬改定後に補正</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段階2の変更について</w:t>
      </w:r>
    </w:p>
    <w:p>
      <w:pPr>
        <w:spacing w:after="120" w:line="300" w:lineRule="exact"/>
      </w:pPr>
      <w:r>
        <w:rPr>
          <w:rFonts w:ascii="游ゴシック" w:cs="游ゴシック" w:eastAsia="游ゴシック" w:hAnsi="游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游ゴシック" w:cs="游ゴシック" w:eastAsia="游ゴシック" w:hAnsi="游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被保険者数</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住基人口</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差</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0.01901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5-2　将来人口と認定者数の見通し</w:t>
      </w:r>
    </w:p>
    <w:p>
      <w:pPr>
        <w:spacing w:after="120" w:line="300" w:lineRule="exact"/>
      </w:pPr>
      <w:r>
        <w:rPr>
          <w:rFonts w:ascii="游ゴシック" w:cs="游ゴシック" w:eastAsia="游ゴシック" w:hAnsi="游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12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988</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游ゴシック" w:cs="游ゴシック" w:eastAsia="游ゴシック" w:hAnsi="游ゴシック"/>
          <w:b/>
          <w:bCs/>
          <w:color w:val="2E75B6"/>
          <w:sz w:val="22"/>
          <w:szCs w:val="22"/>
        </w:rPr>
        <w:t xml:space="preserve">配布データをそのまま用いた場合との差</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游ゴシック" w:cs="游ゴシック" w:eastAsia="游ゴシック" w:hAnsi="游ゴシック"/>
          <w:b/>
          <w:bCs/>
          <w:color w:val="2E75B6"/>
          <w:sz w:val="22"/>
          <w:szCs w:val="22"/>
        </w:rPr>
        <w:t xml:space="preserve">要支援・要介護認定者数の見通し</w:t>
      </w:r>
    </w:p>
    <w:p>
      <w:pPr>
        <w:spacing w:after="120" w:line="300" w:lineRule="exact"/>
      </w:pPr>
      <w:r>
        <w:rPr>
          <w:rFonts w:ascii="游ゴシック" w:cs="游ゴシック" w:eastAsia="游ゴシック" w:hAnsi="游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令和8年度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游ゴシック" w:cs="游ゴシック" w:eastAsia="游ゴシック" w:hAnsi="游ゴシック"/>
          <w:b/>
          <w:bCs/>
          <w:color w:val="2E75B6"/>
          <w:sz w:val="22"/>
          <w:szCs w:val="22"/>
        </w:rPr>
        <w:t xml:space="preserve">当方の算定との突合</w:t>
      </w:r>
    </w:p>
    <w:p>
      <w:pPr>
        <w:spacing w:after="120" w:line="300" w:lineRule="exact"/>
      </w:pPr>
      <w:r>
        <w:rPr>
          <w:rFonts w:ascii="游ゴシック" w:cs="游ゴシック" w:eastAsia="游ゴシック" w:hAnsi="游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34.70%</w:t>
            </w:r>
          </w:p>
        </w:tc>
      </w:tr>
    </w:tbl>
    <w:p>
      <w:pPr>
        <w:spacing w:after="160" w:line="300" w:lineRule="exact"/>
      </w:pPr>
      <w:r>
        <w:rPr>
          <w:rFonts w:ascii="游ゴシック" w:cs="游ゴシック" w:eastAsia="游ゴシック" w:hAnsi="游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認定者数の置き方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3か年計</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ご議論いただきたい論点：当方の検算をどう扱うか</w:t>
      </w:r>
    </w:p>
    <w:p>
      <w:pPr>
        <w:spacing w:after="120" w:line="300" w:lineRule="exact"/>
      </w:pPr>
      <w:r>
        <w:rPr>
          <w:rFonts w:ascii="游ゴシック" w:cs="游ゴシック" w:eastAsia="游ゴシック" w:hAnsi="游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5-3　サービス種類別の見込み量</w:t>
      </w:r>
    </w:p>
    <w:p>
      <w:pPr>
        <w:spacing w:after="120" w:line="300" w:lineRule="exact"/>
      </w:pPr>
      <w:r>
        <w:rPr>
          <w:rFonts w:ascii="游ゴシック" w:cs="游ゴシック" w:eastAsia="游ゴシック" w:hAnsi="游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游ゴシック" w:cs="游ゴシック" w:eastAsia="游ゴシック" w:hAnsi="游ゴシック"/>
          <w:b/>
          <w:bCs/>
          <w:color w:val="2E75B6"/>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令和5年度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令和6年度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2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175.8</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単位：人／月　令和5〜7年度は実績、令和9年度以降は見込みです。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游ゴシック" w:cs="游ゴシック" w:eastAsia="游ゴシック" w:hAnsi="游ゴシック"/>
          <w:b/>
          <w:bCs/>
          <w:color w:val="2E75B6"/>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単位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16.4</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令和10年度</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854,014</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単位：千円</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游ゴシック" w:cs="游ゴシック" w:eastAsia="游ゴシック" w:hAnsi="游ゴシック"/>
          <w:b/>
          <w:bCs/>
          <w:color w:val="2E75B6"/>
          <w:sz w:val="22"/>
          <w:szCs w:val="22"/>
        </w:rPr>
        <w:t xml:space="preserve">実績のないサービスの扱い</w:t>
      </w:r>
    </w:p>
    <w:p>
      <w:pPr>
        <w:spacing w:after="120" w:line="300" w:lineRule="exact"/>
      </w:pPr>
      <w:r>
        <w:rPr>
          <w:rFonts w:ascii="游ゴシック" w:cs="游ゴシック" w:eastAsia="游ゴシック" w:hAnsi="游ゴシック"/>
          <w:sz w:val="21"/>
          <w:szCs w:val="21"/>
        </w:rPr>
        <w:t xml:space="preserve">利用実績のないサービスも、様式の行を空欄で残さないため0として計上します。「やらないこと」を明示する意味もあります。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5-4　推計の幅をどう考えるか</w:t>
      </w:r>
    </w:p>
    <w:p>
      <w:pPr>
        <w:spacing w:after="120" w:line="300" w:lineRule="exact"/>
      </w:pPr>
      <w:r>
        <w:rPr>
          <w:rFonts w:ascii="游ゴシック" w:cs="游ゴシック" w:eastAsia="游ゴシック" w:hAnsi="游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游ゴシック" w:cs="游ゴシック" w:eastAsia="游ゴシック" w:hAnsi="游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游ゴシック" w:cs="游ゴシック" w:eastAsia="游ゴシック" w:hAnsi="游ゴシック"/>
          <w:b/>
          <w:bCs/>
          <w:color w:val="2E75B6"/>
          <w:sz w:val="22"/>
          <w:szCs w:val="22"/>
        </w:rPr>
        <w:t xml:space="preserve">① 単価が趨勢的に上がっていること</w:t>
      </w:r>
    </w:p>
    <w:p>
      <w:pPr>
        <w:spacing w:after="120" w:line="300" w:lineRule="exact"/>
      </w:pPr>
      <w:r>
        <w:rPr>
          <w:rFonts w:ascii="游ゴシック" w:cs="游ゴシック" w:eastAsia="游ゴシック" w:hAnsi="游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游ゴシック" w:cs="游ゴシック" w:eastAsia="游ゴシック" w:hAnsi="游ゴシック"/>
          <w:b/>
          <w:bCs/>
          <w:color w:val="2E75B6"/>
          <w:sz w:val="22"/>
          <w:szCs w:val="22"/>
        </w:rPr>
        <w:t xml:space="preserve">② サービスごとの伸びが大きく違うこと</w:t>
      </w:r>
    </w:p>
    <w:p>
      <w:pPr>
        <w:spacing w:after="120" w:line="300" w:lineRule="exact"/>
      </w:pPr>
      <w:r>
        <w:rPr>
          <w:rFonts w:ascii="游ゴシック" w:cs="游ゴシック" w:eastAsia="游ゴシック" w:hAnsi="游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游ゴシック" w:cs="游ゴシック" w:eastAsia="游ゴシック" w:hAnsi="游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游ゴシック" w:cs="游ゴシック" w:eastAsia="游ゴシック" w:hAnsi="游ゴシック"/>
          <w:b/>
          <w:bCs/>
          <w:color w:val="2E75B6"/>
          <w:sz w:val="22"/>
          <w:szCs w:val="22"/>
        </w:rPr>
        <w:t xml:space="preserve">③ 推計そのものに誤差があること</w:t>
      </w:r>
    </w:p>
    <w:p>
      <w:pPr>
        <w:spacing w:after="120" w:line="300" w:lineRule="exact"/>
      </w:pPr>
      <w:r>
        <w:rPr>
          <w:rFonts w:ascii="游ゴシック" w:cs="游ゴシック" w:eastAsia="游ゴシック" w:hAnsi="游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起点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実績</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游ゴシック" w:cs="游ゴシック" w:eastAsia="游ゴシック" w:hAnsi="游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游ゴシック" w:cs="游ゴシック" w:eastAsia="游ゴシック" w:hAnsi="游ゴシック"/>
          <w:b/>
          <w:bCs/>
          <w:color w:val="2E75B6"/>
          <w:sz w:val="22"/>
          <w:szCs w:val="22"/>
        </w:rPr>
        <w:t xml:space="preserve">④ 自己点検の結果</w:t>
      </w:r>
    </w:p>
    <w:p>
      <w:pPr>
        <w:spacing w:after="120" w:line="300" w:lineRule="exact"/>
      </w:pPr>
      <w:r>
        <w:rPr>
          <w:rFonts w:ascii="游ゴシック" w:cs="游ゴシック" w:eastAsia="游ゴシック" w:hAnsi="游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游ゴシック" w:cs="游ゴシック" w:eastAsia="游ゴシック" w:hAnsi="游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サービス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変化の実数</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変化率</w:t>
            </w:r>
          </w:p>
        </w:tc>
        <w:tc>
          <w:tcPr>
            <w:tcW w:type="dxa" w:w="262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令和5年度まで利用があり同</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5-5　令和9年4月に新設される区分</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同上</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游ゴシック" w:cs="游ゴシック" w:eastAsia="游ゴシック" w:hAnsi="游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5-6　施設整備の論点</w:t>
      </w:r>
    </w:p>
    <w:p>
      <w:pPr>
        <w:spacing w:after="120" w:line="300" w:lineRule="exact"/>
      </w:pPr>
      <w:r>
        <w:rPr>
          <w:rFonts w:ascii="游ゴシック" w:cs="游ゴシック" w:eastAsia="游ゴシック" w:hAnsi="游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游ゴシック" w:cs="游ゴシック" w:eastAsia="游ゴシック" w:hAnsi="游ゴシック"/>
          <w:b/>
          <w:bCs/>
          <w:color w:val="2E75B6"/>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増減率</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游ゴシック" w:cs="游ゴシック" w:eastAsia="游ゴシック" w:hAnsi="游ゴシック"/>
          <w:b/>
          <w:bCs/>
          <w:color w:val="2E75B6"/>
          <w:sz w:val="22"/>
          <w:szCs w:val="22"/>
        </w:rPr>
        <w:t xml:space="preserve">ご議論いただきたい論点</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第10期で施設整備を議論の対象とするかどうか</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訪問系サービスの縮小に対して、どのような手立てを講じるか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5-7　介護人材の確保</w:t>
      </w:r>
    </w:p>
    <w:p>
      <w:pPr>
        <w:spacing w:after="120" w:line="300" w:lineRule="exact"/>
      </w:pPr>
      <w:r>
        <w:rPr>
          <w:rFonts w:ascii="游ゴシック" w:cs="游ゴシック" w:eastAsia="游ゴシック" w:hAnsi="游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研修の実施実績等のデータが未受領のため、本節は受領後に確定します。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資料6　介護保険料の概算シミュレーション</w:t>
      </w:r>
    </w:p>
    <w:p>
      <w:pPr>
        <w:spacing w:after="120" w:line="300" w:lineRule="exact"/>
      </w:pPr>
      <w:r>
        <w:rPr>
          <w:rFonts w:ascii="游ゴシック" w:cs="游ゴシック" w:eastAsia="游ゴシック" w:hAnsi="游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北塩原村</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福島県</w:t>
            </w:r>
          </w:p>
        </w:tc>
        <w:tc>
          <w:tcPr>
            <w:tcW w:type="dxa" w:w="206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6,225円</w:t>
            </w:r>
          </w:p>
        </w:tc>
      </w:tr>
    </w:tbl>
    <w:p>
      <w:pPr>
        <w:spacing w:after="160" w:line="300" w:lineRule="exact"/>
      </w:pPr>
      <w:r>
        <w:rPr>
          <w:rFonts w:ascii="游ゴシック" w:cs="游ゴシック" w:eastAsia="游ゴシック" w:hAnsi="游ゴシック"/>
          <w:sz w:val="21"/>
          <w:szCs w:val="21"/>
        </w:rPr>
        <w:t xml:space="preserve"/>
      </w:r>
    </w:p>
    <w:p>
      <w:pPr>
        <w:spacing w:after="120" w:line="300" w:lineRule="exact"/>
      </w:pPr>
      <w:r>
        <w:rPr>
          <w:rFonts w:ascii="游ゴシック" w:cs="游ゴシック" w:eastAsia="游ゴシック" w:hAnsi="游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6-2　第10期の保険料を考える前提</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游ゴシック" w:cs="游ゴシック" w:eastAsia="游ゴシック" w:hAnsi="游ゴシック"/>
          <w:b/>
          <w:bCs/>
          <w:color w:val="2E75B6"/>
          <w:sz w:val="22"/>
          <w:szCs w:val="22"/>
        </w:rPr>
        <w:t xml:space="preserve">(1) 給付費は10年間ほぼ横ばいです</w:t>
      </w:r>
    </w:p>
    <w:p>
      <w:pPr>
        <w:spacing w:after="120" w:line="300" w:lineRule="exact"/>
      </w:pPr>
      <w:r>
        <w:rPr>
          <w:rFonts w:ascii="游ゴシック" w:cs="游ゴシック" w:eastAsia="游ゴシック" w:hAnsi="游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游ゴシック" w:cs="游ゴシック" w:eastAsia="游ゴシック" w:hAnsi="游ゴシック"/>
          <w:b/>
          <w:bCs/>
          <w:color w:val="2E75B6"/>
          <w:sz w:val="22"/>
          <w:szCs w:val="22"/>
        </w:rPr>
        <w:t xml:space="preserve">(2) 調整交付金が10年で3分の2に減っています</w:t>
      </w:r>
    </w:p>
    <w:p>
      <w:pPr>
        <w:spacing w:after="120" w:line="300" w:lineRule="exact"/>
      </w:pPr>
      <w:r>
        <w:rPr>
          <w:rFonts w:ascii="游ゴシック" w:cs="游ゴシック" w:eastAsia="游ゴシック" w:hAnsi="游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游ゴシック" w:cs="游ゴシック" w:eastAsia="游ゴシック" w:hAnsi="游ゴシック"/>
          <w:b/>
          <w:bCs/>
          <w:color w:val="2E75B6"/>
          <w:sz w:val="22"/>
          <w:szCs w:val="22"/>
        </w:rPr>
        <w:t xml:space="preserve">(3) 令和9年度は介護報酬の改定年です</w:t>
      </w:r>
    </w:p>
    <w:p>
      <w:pPr>
        <w:spacing w:after="120" w:line="300" w:lineRule="exact"/>
      </w:pPr>
      <w:r>
        <w:rPr>
          <w:rFonts w:ascii="游ゴシック" w:cs="游ゴシック" w:eastAsia="游ゴシック" w:hAnsi="游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　保険料の算定の構造と感応度</w:t>
      </w:r>
    </w:p>
    <w:p>
      <w:pPr>
        <w:spacing w:after="120" w:line="300" w:lineRule="exact"/>
      </w:pPr>
      <w:r>
        <w:rPr>
          <w:rFonts w:ascii="游ゴシック" w:cs="游ゴシック" w:eastAsia="游ゴシック" w:hAnsi="游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861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どの前提がどれだけ効くか</w:t>
      </w:r>
    </w:p>
    <w:p>
      <w:pPr>
        <w:spacing w:after="120" w:line="300" w:lineRule="exact"/>
      </w:pPr>
      <w:r>
        <w:rPr>
          <w:rFonts w:ascii="游ゴシック" w:cs="游ゴシック" w:eastAsia="游ゴシック" w:hAnsi="游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前提</w:t>
            </w:r>
          </w:p>
        </w:tc>
        <w:tc>
          <w:tcPr>
            <w:tcW w:type="dxa" w:w="355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±約700円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6-3b　介護給付費準備基金の取崩しの水準（ご審議事項①）</w:t>
      </w:r>
    </w:p>
    <w:p>
      <w:pPr>
        <w:spacing w:after="120" w:line="300" w:lineRule="exact"/>
      </w:pPr>
      <w:r>
        <w:rPr>
          <w:rFonts w:ascii="游ゴシック" w:cs="游ゴシック" w:eastAsia="游ゴシック" w:hAnsi="游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案</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考え方</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取崩額</w:t>
            </w:r>
          </w:p>
        </w:tc>
        <w:tc>
          <w:tcPr>
            <w:tcW w:type="dxa" w:w="121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第10期の基準額（条例上）</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第9期6,700円との差</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第11期に残る残高</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第11期の基準額（条例上）</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月額58円分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游ゴシック" w:cs="游ゴシック" w:eastAsia="游ゴシック" w:hAnsi="游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游ゴシック" w:cs="游ゴシック" w:eastAsia="游ゴシック" w:hAnsi="游ゴシック"/>
          <w:b/>
          <w:bCs/>
          <w:color w:val="2E75B6"/>
          <w:sz w:val="22"/>
          <w:szCs w:val="22"/>
        </w:rPr>
        <w:t xml:space="preserve">参考　当方がワークシートの提供を受ける前に算定した12のパターン</w:t>
      </w:r>
    </w:p>
    <w:p>
      <w:pPr>
        <w:spacing w:after="120" w:line="300" w:lineRule="exact"/>
      </w:pPr>
      <w:r>
        <w:rPr>
          <w:rFonts w:ascii="游ゴシック" w:cs="游ゴシック" w:eastAsia="游ゴシック" w:hAnsi="游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第1号負担割合</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基金取崩</w:t>
            </w:r>
          </w:p>
        </w:tc>
        <w:tc>
          <w:tcPr>
            <w:tcW w:type="dxa" w:w="337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給付費の水準</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6,224円</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6-4　所得段階の設定</w:t>
      </w:r>
    </w:p>
    <w:p>
      <w:pPr>
        <w:spacing w:after="120" w:line="300" w:lineRule="exact"/>
      </w:pPr>
      <w:r>
        <w:rPr>
          <w:rFonts w:ascii="游ゴシック" w:cs="游ゴシック" w:eastAsia="游ゴシック" w:hAnsi="游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人数</w:t>
            </w:r>
          </w:p>
        </w:tc>
        <w:tc>
          <w:tcPr>
            <w:tcW w:type="dxa" w:w="262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100.0%</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6-5　2040年に向けた見通し</w:t>
      </w:r>
    </w:p>
    <w:p>
      <w:pPr>
        <w:spacing w:after="120" w:line="300" w:lineRule="exact"/>
      </w:pPr>
      <w:r>
        <w:rPr>
          <w:rFonts w:ascii="游ゴシック" w:cs="游ゴシック" w:eastAsia="游ゴシック" w:hAnsi="游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▲16.2%</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給付費が減っても保険料は下がりません</w:t>
      </w:r>
    </w:p>
    <w:p>
      <w:pPr>
        <w:spacing w:after="120" w:line="300" w:lineRule="exact"/>
      </w:pPr>
      <w:r>
        <w:rPr>
          <w:rFonts w:ascii="游ゴシック" w:cs="游ゴシック" w:eastAsia="游ゴシック" w:hAnsi="游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ケース</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8,379円</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游ゴシック" w:cs="游ゴシック" w:eastAsia="游ゴシック" w:hAnsi="游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keepNext/>
        <w:keepLines/>
        <w:spacing w:after="100" w:line="300" w:lineRule="exact"/>
      </w:pPr>
      <w:r>
        <w:rPr>
          <w:rFonts w:ascii="游ゴシック" w:cs="游ゴシック" w:eastAsia="游ゴシック" w:hAnsi="游ゴシック"/>
          <w:b/>
          <w:bCs/>
          <w:color w:val="2E75B6"/>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期</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基準月額</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第10期比</w:t>
            </w:r>
          </w:p>
        </w:tc>
        <w:tc>
          <w:tcPr>
            <w:tcW w:type="dxa" w:w="196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第1号被保険者負担割合</w:t>
            </w:r>
          </w:p>
        </w:tc>
        <w:tc>
          <w:tcPr>
            <w:tcW w:type="dxa" w:w="196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11.52%</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以下は当方がワークシートの提供を受ける前に算定したものであ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資料7　成果目標・活動指標（案）</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7-1　指標の設定方針</w:t>
      </w:r>
    </w:p>
    <w:p>
      <w:pPr>
        <w:spacing w:after="120" w:line="300" w:lineRule="exact"/>
      </w:pPr>
      <w:r>
        <w:rPr>
          <w:rFonts w:ascii="游ゴシック" w:cs="游ゴシック" w:eastAsia="游ゴシック" w:hAnsi="游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游ゴシック" w:cs="游ゴシック" w:eastAsia="游ゴシック" w:hAnsi="游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43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方針</w:t>
            </w:r>
          </w:p>
        </w:tc>
        <w:tc>
          <w:tcPr>
            <w:tcW w:type="dxa" w:w="636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7-2　成果目標（アウトカム）</w:t>
      </w:r>
    </w:p>
    <w:p>
      <w:pPr>
        <w:spacing w:after="120" w:line="300" w:lineRule="exact"/>
      </w:pPr>
      <w:r>
        <w:rPr>
          <w:rFonts w:ascii="游ゴシック" w:cs="游ゴシック" w:eastAsia="游ゴシック" w:hAnsi="游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在宅介護実態調査</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　活動指標（アウトプット）</w:t>
      </w:r>
    </w:p>
    <w:p>
      <w:pPr>
        <w:spacing w:after="120" w:line="300" w:lineRule="exact"/>
      </w:pPr>
      <w:r>
        <w:rPr>
          <w:rFonts w:ascii="游ゴシック" w:cs="游ゴシック" w:eastAsia="游ゴシック" w:hAnsi="游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現状値</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目標値</w:t>
            </w:r>
          </w:p>
        </w:tc>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会津権利擁護・成年後見センター</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7-3b　全国と比べてどこを上げるか</w:t>
      </w:r>
    </w:p>
    <w:p>
      <w:pPr>
        <w:spacing w:after="120" w:line="300" w:lineRule="exact"/>
      </w:pPr>
      <w:r>
        <w:rPr>
          <w:rFonts w:ascii="游ゴシック" w:cs="游ゴシック" w:eastAsia="游ゴシック" w:hAnsi="游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指標</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本村の得点</w:t>
            </w:r>
          </w:p>
        </w:tc>
        <w:tc>
          <w:tcPr>
            <w:tcW w:type="dxa" w:w="149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全国平均</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★引上げ</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7-3c　計画に書くことで取得できる評価指標（67点）</w:t>
      </w:r>
    </w:p>
    <w:p>
      <w:pPr>
        <w:spacing w:after="120" w:line="300" w:lineRule="exact"/>
      </w:pPr>
      <w:r>
        <w:rPr>
          <w:rFonts w:ascii="游ゴシック" w:cs="游ゴシック" w:eastAsia="游ゴシック" w:hAnsi="游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交付金・指標</w:t>
            </w:r>
          </w:p>
        </w:tc>
        <w:tc>
          <w:tcPr>
            <w:tcW w:type="dxa" w:w="74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c>
          <w:tcPr>
            <w:tcW w:type="dxa" w:w="234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游ゴシック" w:cs="游ゴシック" w:eastAsia="游ゴシック" w:hAnsi="游ゴシック"/>
          <w:b/>
          <w:bCs/>
          <w:color w:val="2E75B6"/>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游ゴシック" w:cs="游ゴシック" w:eastAsia="游ゴシック" w:hAnsi="游ゴシック"/>
          <w:b/>
          <w:bCs/>
          <w:color w:val="2E75B6"/>
          <w:sz w:val="22"/>
          <w:szCs w:val="22"/>
        </w:rPr>
        <w:t xml:space="preserve">村の取組の可否をご確認いただきたいもの</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游ゴシック" w:cs="游ゴシック" w:eastAsia="游ゴシック" w:hAnsi="游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游ゴシック" w:cs="游ゴシック" w:eastAsia="游ゴシック" w:hAnsi="游ゴシック"/>
          <w:b/>
          <w:bCs/>
          <w:color w:val="2E75B6"/>
          <w:sz w:val="22"/>
          <w:szCs w:val="22"/>
        </w:rPr>
        <w:t xml:space="preserve">残りの55点はどうなるのか</w:t>
      </w:r>
    </w:p>
    <w:p>
      <w:pPr>
        <w:spacing w:after="120" w:line="300" w:lineRule="exact"/>
      </w:pPr>
      <w:r>
        <w:rPr>
          <w:rFonts w:ascii="游ゴシック" w:cs="游ゴシック" w:eastAsia="游ゴシック" w:hAnsi="游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游ゴシック" w:cs="游ゴシック" w:eastAsia="游ゴシック" w:hAnsi="游ゴシック"/>
          <w:b/>
          <w:bCs/>
          <w:color w:val="2E75B6"/>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段階</w:t>
            </w:r>
          </w:p>
        </w:tc>
        <w:tc>
          <w:tcPr>
            <w:tcW w:type="dxa" w:w="93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点</w:t>
            </w:r>
          </w:p>
        </w:tc>
        <w:tc>
          <w:tcPr>
            <w:tcW w:type="dxa" w:w="1310"/>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累計</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全国順位</w:t>
            </w:r>
          </w:p>
        </w:tc>
        <w:tc>
          <w:tcPr>
            <w:tcW w:type="dxa" w:w="1404"/>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7-4　進捗管理の仕組み</w:t>
      </w:r>
    </w:p>
    <w:p>
      <w:pPr>
        <w:spacing w:after="120" w:line="300" w:lineRule="exact"/>
      </w:pPr>
      <w:r>
        <w:rPr>
          <w:rFonts w:ascii="游ゴシック" w:cs="游ゴシック" w:eastAsia="游ゴシック" w:hAnsi="游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仕組み</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游ゴシック" w:cs="游ゴシック" w:eastAsia="游ゴシック" w:hAnsi="游ゴシック"/>
          <w:b/>
          <w:bCs/>
          <w:color w:val="2E75B6"/>
          <w:sz w:val="22"/>
          <w:szCs w:val="22"/>
        </w:rPr>
        <w:t xml:space="preserve">交付金の得点を数値目標に置くかどうか</w:t>
      </w:r>
    </w:p>
    <w:p>
      <w:pPr>
        <w:spacing w:after="120" w:line="300" w:lineRule="exact"/>
      </w:pPr>
      <w:r>
        <w:rPr>
          <w:rFonts w:ascii="游ゴシック" w:cs="游ゴシック" w:eastAsia="游ゴシック" w:hAnsi="游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游ゴシック" w:cs="游ゴシック" w:eastAsia="游ゴシック" w:hAnsi="游ゴシック"/>
          <w:sz w:val="21"/>
          <w:szCs w:val="21"/>
        </w:rPr>
        <w:t xml:space="preserve">代わりに、上表の3から5の仕組みを計画に書き込むことを提案します。得点そのものは、毎年度の進捗評価資料でご報告します。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1F3864" w:val="clear"/>
        <w:spacing w:after="300" w:before="0"/>
      </w:pPr>
      <w:r>
        <w:rPr>
          <w:rFonts w:ascii="游ゴシック" w:cs="游ゴシック" w:eastAsia="游ゴシック" w:hAnsi="游ゴシック"/>
          <w:b/>
          <w:bCs/>
          <w:color w:val="FFFFFF"/>
          <w:sz w:val="30"/>
          <w:szCs w:val="30"/>
        </w:rPr>
        <w:t xml:space="preserve">資料8　今後のスケジュール</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561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r>
    </w:tbl>
    <w:p>
      <w:pPr>
        <w:spacing w:after="160" w:line="300" w:lineRule="exact"/>
      </w:pPr>
      <w:r>
        <w:rPr>
          <w:rFonts w:ascii="游ゴシック" w:cs="游ゴシック" w:eastAsia="游ゴシック" w:hAnsi="游ゴシック"/>
          <w:sz w:val="21"/>
          <w:szCs w:val="21"/>
        </w:rPr>
        <w:t xml:space="preserve"/>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8-2　本日以降のスケジュール</w:t>
      </w:r>
    </w:p>
    <w:p>
      <w:pPr>
        <w:spacing w:after="120" w:line="300" w:lineRule="exact"/>
      </w:pPr>
      <w:r>
        <w:rPr>
          <w:rFonts w:ascii="游ゴシック" w:cs="游ゴシック" w:eastAsia="游ゴシック" w:hAnsi="游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時期</w:t>
            </w:r>
          </w:p>
        </w:tc>
        <w:tc>
          <w:tcPr>
            <w:tcW w:type="dxa" w:w="318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主体</w:t>
            </w:r>
          </w:p>
        </w:tc>
        <w:tc>
          <w:tcPr>
            <w:tcW w:type="dxa" w:w="299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w:t>
            </w:r>
          </w:p>
        </w:tc>
      </w:tr>
    </w:tbl>
    <w:p>
      <w:pPr>
        <w:spacing w:after="160" w:line="300" w:lineRule="exact"/>
      </w:pPr>
      <w:r>
        <w:rPr>
          <w:rFonts w:ascii="游ゴシック" w:cs="游ゴシック" w:eastAsia="游ゴシック" w:hAnsi="游ゴシック"/>
          <w:sz w:val="21"/>
          <w:szCs w:val="21"/>
        </w:rPr>
        <w:t xml:space="preserve"/>
      </w:r>
    </w:p>
    <w:p>
      <w:pPr>
        <w:pBdr>
          <w:left w:val="single" w:color="BF8F00" w:sz="18" w:space="8"/>
        </w:pBdr>
        <w:shd w:fill="FFF2CC" w:val="clear"/>
        <w:spacing w:after="200" w:before="140" w:line="300" w:lineRule="exact"/>
        <w:ind w:left="200" w:right="200"/>
      </w:pPr>
      <w:r>
        <w:rPr>
          <w:rFonts w:ascii="游ゴシック" w:cs="游ゴシック" w:eastAsia="游ゴシック" w:hAnsi="游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8-3　本日ご確認いただきたい日程</w:t>
      </w:r>
    </w:p>
    <w:p>
      <w:pPr>
        <w:spacing w:after="120" w:line="300" w:lineRule="exact"/>
      </w:pPr>
      <w:r>
        <w:rPr>
          <w:rFonts w:ascii="游ゴシック" w:cs="游ゴシック" w:eastAsia="游ゴシック" w:hAnsi="游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事項</w:t>
            </w:r>
          </w:p>
        </w:tc>
        <w:tc>
          <w:tcPr>
            <w:tcW w:type="dxa" w:w="430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2246"/>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村と受託者で内容を調整（委員会での確認は不要）</w:t>
            </w:r>
          </w:p>
        </w:tc>
      </w:tr>
    </w:tbl>
    <w:p>
      <w:pPr>
        <w:spacing w:after="160" w:line="300" w:lineRule="exact"/>
      </w:pPr>
      <w:r>
        <w:rPr>
          <w:rFonts w:ascii="游ゴシック" w:cs="游ゴシック" w:eastAsia="游ゴシック" w:hAnsi="游ゴシック"/>
          <w:sz w:val="21"/>
          <w:szCs w:val="21"/>
        </w:rPr>
        <w:t xml:space="preserve"/>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2E75B6" w:sz="12" w:space="4"/>
        </w:pBdr>
        <w:spacing w:after="180" w:before="320"/>
      </w:pPr>
      <w:r>
        <w:rPr>
          <w:rFonts w:ascii="游ゴシック" w:cs="游ゴシック" w:eastAsia="游ゴシック" w:hAnsi="游ゴシック"/>
          <w:b/>
          <w:bCs/>
          <w:color w:val="1F3864"/>
          <w:sz w:val="25"/>
          <w:szCs w:val="25"/>
        </w:rPr>
        <w:t xml:space="preserve">8-4　スケジュール上の留意点</w:t>
      </w:r>
    </w:p>
    <w:p>
      <w:pPr>
        <w:spacing w:after="120" w:line="300" w:lineRule="exact"/>
      </w:pPr>
      <w:r>
        <w:rPr>
          <w:rFonts w:ascii="游ゴシック" w:cs="游ゴシック" w:eastAsia="游ゴシック" w:hAnsi="游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箇所</w:t>
            </w:r>
          </w:p>
        </w:tc>
        <w:tc>
          <w:tcPr>
            <w:tcW w:type="dxa" w:w="6552"/>
            <w:shd w:fill="2E75B6" w:val="clear"/>
            <w:tcMar>
              <w:top w:type="dxa" w:w="60"/>
              <w:left w:type="dxa" w:w="90"/>
              <w:bottom w:type="dxa" w:w="60"/>
              <w:right w:type="dxa" w:w="90"/>
            </w:tcMar>
          </w:tcPr>
          <w:p>
            <w:pPr>
              <w:spacing w:after="0" w:line="240" w:lineRule="exact"/>
              <w:jc w:val="center"/>
            </w:pPr>
            <w:r>
              <w:rPr>
                <w:rFonts w:ascii="游ゴシック" w:cs="游ゴシック" w:eastAsia="游ゴシック" w:hAnsi="游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游ゴシック" w:cs="游ゴシック" w:eastAsia="游ゴシック" w:hAnsi="游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游ゴシック" w:cs="游ゴシック" w:eastAsia="游ゴシック" w:hAnsi="游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游ゴシック" w:cs="游ゴシック" w:eastAsia="游ゴシック" w:hAnsi="游ゴシック"/>
          <w:sz w:val="21"/>
          <w:szCs w:val="21"/>
        </w:rPr>
        <w:t xml:space="preserve"/>
      </w:r>
    </w:p>
    <w:p>
      <w:pPr>
        <w:keepNext/>
        <w:keepLines/>
        <w:spacing w:after="100" w:line="300" w:lineRule="exact"/>
      </w:pPr>
      <w:r>
        <w:rPr>
          <w:rFonts w:ascii="游ゴシック" w:cs="游ゴシック" w:eastAsia="游ゴシック" w:hAnsi="游ゴシック"/>
          <w:b/>
          <w:bCs/>
          <w:color w:val="2E75B6"/>
          <w:sz w:val="22"/>
          <w:szCs w:val="22"/>
        </w:rPr>
        <w:t xml:space="preserve">調査の集計が遅れた場合</w:t>
      </w:r>
    </w:p>
    <w:p>
      <w:pPr>
        <w:spacing w:after="120" w:line="300" w:lineRule="exact"/>
      </w:pPr>
      <w:r>
        <w:rPr>
          <w:rFonts w:ascii="游ゴシック" w:cs="游ゴシック" w:eastAsia="游ゴシック" w:hAnsi="游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C00000" w:sz="18" w:space="8"/>
        </w:pBdr>
        <w:shd w:fill="FFF3F3" w:val="clear"/>
        <w:spacing w:after="180" w:before="120" w:line="280" w:lineRule="exact"/>
        <w:ind w:left="200" w:right="200"/>
      </w:pPr>
      <w:r>
        <w:rPr>
          <w:rFonts w:ascii="游ゴシック" w:cs="游ゴシック" w:eastAsia="游ゴシック" w:hAnsi="游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30"/>
      <w:szCs w:val="30"/>
    </w:rPr>
  </w:style>
  <w:style w:type="paragraph" w:styleId="Heading2">
    <w:name w:val="Heading 2"/>
    <w:basedOn w:val="Normal"/>
    <w:next w:val="Normal"/>
    <w:qFormat/>
    <w:rPr>
      <w:rFonts w:ascii="游ゴシック" w:cs="游ゴシック" w:eastAsia="游ゴシック" w:hAnsi="游ゴシック"/>
      <w:b/>
      <w:bCs/>
      <w:color w:val="1F3864"/>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3d06d96bb60823e61760997b4189c5da52e8b50c.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2026-10-21T04:33:14.581Z</dcterms:created>
  <dcterms:modified xsi:type="dcterms:W3CDTF">2026-10-21T04:33:14.581Z</dcterms:modified>
</cp:coreProperties>
</file>

<file path=docProps/custom.xml><?xml version="1.0" encoding="utf-8"?>
<Properties xmlns="http://schemas.openxmlformats.org/officeDocument/2006/custom-properties" xmlns:vt="http://schemas.openxmlformats.org/officeDocument/2006/docPropsVTypes"/>
</file>