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表1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表2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表3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表4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表5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表6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表7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中</w:t>
            </w:r>
          </w:p>
        </w:tc>
        <w:tc>
          <w:tcPr>
            <w:tcW w:type="dxa" w:w="567"/>
            <w:vAlign w:val="center"/>
            <w:shd w:val="clear" w:color="auto" w:fill="F2F5FA"/>
          </w:tcPr>
          <w:p>
            <w:pPr>
              <w:spacing w:after="0"/>
              <w:jc w:val="center"/>
            </w:pPr>
            <w:r>
              <w:rPr>
                <w:rFonts w:ascii="游ゴシック" w:hAnsi="游ゴシック" w:eastAsia="游ゴシック"/>
                <w:b w:val="0"/>
                <w:sz w:val="19"/>
              </w:rPr>
              <w:t>15</w:t>
            </w:r>
          </w:p>
        </w:tc>
        <w:tc>
          <w:tcPr>
            <w:tcW w:type="dxa" w:w="2494"/>
            <w:vAlign w:val="center"/>
            <w:shd w:val="clear" w:color="auto" w:fill="F2F5FA"/>
          </w:tcPr>
          <w:p>
            <w:pPr>
              <w:spacing w:after="0"/>
            </w:pPr>
            <w:r>
              <w:rPr>
                <w:rFonts w:ascii="游ゴシック" w:hAnsi="游ゴシック" w:eastAsia="游ゴシック"/>
                <w:b w:val="0"/>
                <w:sz w:val="19"/>
              </w:rPr>
              <w:t>第9期の自己評価と北海道への報告の実績</w:t>
            </w:r>
          </w:p>
        </w:tc>
        <w:tc>
          <w:tcPr>
            <w:tcW w:type="dxa" w:w="3628"/>
            <w:vAlign w:val="center"/>
            <w:shd w:val="clear" w:color="auto" w:fill="F2F5FA"/>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低</w:t>
            </w:r>
          </w:p>
        </w:tc>
        <w:tc>
          <w:tcPr>
            <w:tcW w:type="dxa" w:w="567"/>
            <w:vAlign w:val="center"/>
          </w:tcPr>
          <w:p>
            <w:pPr>
              <w:spacing w:after="0"/>
              <w:jc w:val="center"/>
            </w:pPr>
            <w:r>
              <w:rPr>
                <w:rFonts w:ascii="游ゴシック" w:hAnsi="游ゴシック" w:eastAsia="游ゴシック"/>
                <w:b w:val="0"/>
                <w:sz w:val="19"/>
              </w:rPr>
              <w:t>1</w:t>
            </w:r>
          </w:p>
        </w:tc>
        <w:tc>
          <w:tcPr>
            <w:tcW w:type="dxa" w:w="2494"/>
            <w:vAlign w:val="center"/>
          </w:tcPr>
          <w:p>
            <w:pPr>
              <w:spacing w:after="0"/>
            </w:pPr>
            <w:r>
              <w:rPr>
                <w:rFonts w:ascii="游ゴシック" w:hAnsi="游ゴシック" w:eastAsia="游ゴシック"/>
                <w:b w:val="0"/>
                <w:sz w:val="19"/>
              </w:rPr>
              <w:t>見える化B5a・B6a・B6bの令和8年3月末の値</w:t>
            </w:r>
          </w:p>
        </w:tc>
        <w:tc>
          <w:tcPr>
            <w:tcW w:type="dxa" w:w="3628"/>
            <w:vAlign w:val="center"/>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tcPr>
          <w:p>
            <w:pPr>
              <w:spacing w:after="0"/>
            </w:pPr>
            <w:r>
              <w:rPr>
                <w:rFonts w:ascii="游ゴシック" w:hAnsi="游ゴシック" w:eastAsia="游ゴシック"/>
                <w:b w:val="0"/>
                <w:sz w:val="19"/>
              </w:rPr>
              <w:t>見える化システム</w:t>
            </w:r>
          </w:p>
        </w:tc>
        <w:tc>
          <w:tcPr>
            <w:tcW w:type="dxa" w:w="1247"/>
            <w:vAlign w:val="center"/>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06_資料提供依頼一覧によります。本表は第9期の評価に関わるものに限っています。全体では18件の不足資料を特定しています（必要事項の一覧 01_資料の提供）。</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最高優先の資料No.13は、他の統計では代替できません。8月の工程は「開始」であるため現時点で支障はありませんが、9月以降にプロセス評価へ進むために受領が必要となります。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表8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表9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表10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表11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