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Ver.1.25</w:t>
      </w:r>
    </w:p>
    <w:p>
      <w:pPr>
        <w:spacing w:after="80" w:before="80"/>
        <w:jc w:val="center"/>
      </w:pPr>
      <w:r>
        <w:rPr>
          <w:rFonts w:ascii="游ゴシック" w:cs="游ゴシック" w:eastAsia="游ゴシック" w:hAnsi="游ゴシック"/>
          <w:b w:val="false"/>
          <w:bCs w:val="false"/>
          <w:i/>
          <w:iCs/>
          <w:sz w:val="18"/>
          <w:szCs w:val="18"/>
        </w:rPr>
        <w:t xml:space="preserve">（施策体系の事業数 是正版）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5-1．健康づくり・介護予防の推進（基本目標1）</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5-2．高齢者が安心して暮らせるまちづくり（基本目標2）</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5-3．在宅生活継続の支援（基本目標3）</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5-4．介護サービスの質の確保と人材確保（基本目標4）</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5-5．地域包括ケアシステムの深化（基本目標5）</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bl>
    <w:p>
      <w:pPr>
        <w:spacing w:after="80" w:before="80" w:line="280"/>
        <w:ind w:left="288"/>
      </w:pPr>
      <w:r>
        <w:rPr>
          <w:rFonts w:ascii="游ゴシック" w:cs="游ゴシック" w:eastAsia="游ゴシック" w:hAnsi="游ゴシック"/>
          <w:i/>
          <w:iCs/>
          <w:sz w:val="19"/>
          <w:szCs w:val="19"/>
        </w:rPr>
        <w:t xml:space="preserve">⚠ 頁番号は、本素案Ver.1.25の組版によるものです。図表の差替え・加筆により頁の割付けが動いた場合は、目次の頁番号も併せて更新します。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1.25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確定しました（別冊「施策・事業の体系（Ｃ案）」）。Ver.1.24では、交付金の評価を枝番（ア・イ・ウ…）の単位まで下ろして評価指標の本文（全42頁）と突き合わせ、体制・取組指標群の失点が3か所・27点だけであることを第3章3-3に示したうえで、その手当てを第6章6-1・第8章8-2・8-4に定めました。本版では、第4章表42の柱別の事業数を統合体系表と一致させ（柱4を30事業・柱5を28事業に是正。内訳の合計143事業）、版の表記が古いまま残っていた4か所を改めました。介護給付費準備基金の取崩方針と令和9年度の介護報酬改定を踏まえ、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要支援・要介護認定者調査（委託仕様書上の対象者数：認定者300名。有効票142件）</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人口動態（令和7年度）</w:t>
      </w:r>
    </w:p>
    <w:p>
      <w:pPr>
        <w:spacing w:after="30" w:before="30" w:line="300"/>
        <w:ind w:left="431"/>
      </w:pPr>
      <w:r>
        <w:rPr>
          <w:rFonts w:ascii="游ゴシック" w:cs="游ゴシック" w:eastAsia="游ゴシック" w:hAnsi="游ゴシック"/>
          <w:i w:val="false"/>
          <w:iCs w:val="false"/>
          <w:sz w:val="21"/>
          <w:szCs w:val="21"/>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1"/>
          <w:szCs w:val="21"/>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688人</w:t>
            </w:r>
          </w:p>
        </w:tc>
      </w:tr>
    </w:tbl>
    <w:p>
      <w:pPr>
        <w:spacing w:after="80" w:before="30" w:line="260"/>
        <w:jc w:val="right"/>
      </w:pPr>
      <w:r>
        <w:rPr>
          <w:rFonts w:ascii="游ゴシック" w:cs="游ゴシック" w:eastAsia="游ゴシック" w:hAnsi="游ゴシック"/>
          <w:i/>
          <w:iCs/>
          <w:sz w:val="17"/>
          <w:szCs w:val="17"/>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2"/>
          <w:szCs w:val="22"/>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サービス受給者の区分別構成（令和7年度の月平均・延べ450.1人）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 xml:space="preserve">図2-2　サービス受給者の区分別構成（令和7年度の月平均・延べ450.0人）</w:t>
      </w:r>
    </w:p>
    <w:p>
      <w:pPr>
        <w:spacing w:after="100" w:before="200" w:line="320"/>
      </w:pPr>
      <w:r>
        <w:rPr>
          <w:rFonts w:ascii="游ゴシック" w:cs="游ゴシック" w:eastAsia="游ゴシック" w:hAnsi="游ゴシック"/>
          <w:b w:val="1"/>
          <w:bCs w:val="1"/>
          <w:i w:val="false"/>
          <w:iCs w:val="false"/>
          <w:sz w:val="25"/>
          <w:szCs w:val="25"/>
        </w:rPr>
        <w:t xml:space="preserve">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2"/>
          <w:szCs w:val="22"/>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2"/>
          <w:szCs w:val="22"/>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1"/>
          <w:szCs w:val="21"/>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1"/>
          <w:szCs w:val="21"/>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2"/>
          <w:szCs w:val="22"/>
        </w:rPr>
        <w:t xml:space="preserve">　▌ 失点の内訳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2"/>
          <w:szCs w:val="22"/>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1"/>
          <w:szCs w:val="21"/>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11.1（16位）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2"/>
          <w:szCs w:val="22"/>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1"/>
          <w:szCs w:val="21"/>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＋30.5点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2"/>
          <w:szCs w:val="22"/>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485.0点</w:t>
            </w:r>
          </w:p>
        </w:tc>
      </w:tr>
    </w:tbl>
    <w:p>
      <w:pPr>
        <w:spacing w:after="80" w:before="180" w:line="300"/>
      </w:pPr>
      <w:r>
        <w:rPr>
          <w:rFonts w:ascii="游ゴシック" w:cs="游ゴシック" w:eastAsia="游ゴシック" w:hAnsi="游ゴシック"/>
          <w:b w:val="1"/>
          <w:bCs w:val="1"/>
          <w:i w:val="false"/>
          <w:iCs w:val="false"/>
          <w:sz w:val="22"/>
          <w:szCs w:val="22"/>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1"/>
          <w:szCs w:val="21"/>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2"/>
          <w:szCs w:val="22"/>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2"/>
          <w:szCs w:val="22"/>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47位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2"/>
          <w:szCs w:val="22"/>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1"/>
          <w:szCs w:val="21"/>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180" w:line="300"/>
      </w:pPr>
      <w:r>
        <w:rPr>
          <w:rFonts w:ascii="游ゴシック" w:cs="游ゴシック" w:eastAsia="游ゴシック" w:hAnsi="游ゴシック"/>
          <w:b w:val="1"/>
          <w:bCs w:val="1"/>
          <w:i w:val="false"/>
          <w:iCs w:val="false"/>
          <w:sz w:val="22"/>
          <w:szCs w:val="22"/>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1"/>
          <w:szCs w:val="21"/>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20"/>
                <w:szCs w:val="20"/>
              </w:rPr>
              <w:t xml:space="preserve">↓</w:t>
            </w:r>
          </w:p>
        </w:tc>
      </w:tr>
      <w:tr>
        <w:tc>
          <w:tcPr/>
          <w:p>
            <w:pPr>
              <w:spacing w:after="80" w:before="80"/>
              <w:jc w:val="center"/>
            </w:pPr>
            <w:r>
              <w:rPr>
                <w:rFonts w:ascii="游ゴシック" w:cs="游ゴシック" w:eastAsia="游ゴシック" w:hAnsi="游ゴシック"/>
                <w:i/>
                <w:iCs/>
                <w:sz w:val="20"/>
                <w:szCs w:val="20"/>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7つの柱のうち、認知症施策（柱5）を除く施策を、施策体系・主な事業・成果指標（KPI）の3層構造で整理します。認知症施策（柱5）は第6章で、サービス提供体制と介護人材の確保は第7章で、保険者としての管理・評価は第8章（地域マネジメントの推進）で、それぞれ独立章として詳述します。なお、本章の5つの節は本素案Ver.1.20までの基本目標1〜5に対応するもので、節の構成を7つの柱の章立てに合わせる組み替えはVer.2.0で行います（対応は下表のとおりです）。その際、体系（Ｃ案）の140事業をすべて本章に掲げ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柱4の節として整理する</w:t>
            </w:r>
          </w:p>
        </w:tc>
      </w:tr>
    </w:tbl>
    <w:p>
      <w:pPr>
        <w:spacing w:after="80" w:before="80" w:line="280"/>
        <w:ind w:left="288"/>
      </w:pPr>
      <w:r>
        <w:rPr>
          <w:rFonts w:ascii="游ゴシック" w:cs="游ゴシック" w:eastAsia="游ゴシック" w:hAnsi="游ゴシック"/>
          <w:i/>
          <w:iCs/>
          <w:sz w:val="18"/>
          <w:szCs w:val="18"/>
        </w:rPr>
        <w:t xml:space="preserve">⚠ 本表の組み替えはVer.2.0で行います。Ver.1.25では、施策の内容は変えずに体系上の位置付けのみを確定しています。体系（Ｃ案）で新たに立てた事業23件（家族介護者への支援6件・認知症施策13件・町外医療機関との広域連携・重層的支援体制整備事業との連動・計画値と実績値の乖離のモニタリング・住所地特例への対応）は、Ver.2.0で本章及び第6章から第8章の各節に個別の事業として書き下ろします。</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家族介護教室・介護相談・レスパイト（短期入所）の活用支援。本人が男性の世帯（介護者の70.6％が70歳以上）・夫婦のみ世帯（同81.3％）を重点対象とする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介護と仕事の両立支援、町内事業所との連携。本人が女性の世帯（介護者の43.6％が50代以下・フルタイム就労41.0％）を主たる対象とする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施策の体系においても、町がお示しになった「施策・事業の体系（案）」では「地域支援事業の充実」の一節に置かれていた認知症施策を、独立した柱（柱5 認知症施策の推進・6節8項28事業）に引き上げています。同法第14条から第21条までの8つの基本的施策のすべてに対応する事業を置いたうえで、第9条（認知症の日・認知症月間）及び第13条（計画の策定手続）への対応を加え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2"/>
          <w:szCs w:val="22"/>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また、同交付金の体制・取組指標のうち「難聴高齢者の早期発見・早期介入」は20点満点で宮城県内1位（宮城県平均11.3点・全国平均6.9点）であり、本町の強みです。難聴は認知症の危険因子として国際的に確立しており、認知症基本法第21条（認知症の予防等）の対応事業として本章に位置付けます。</w:t>
      </w:r>
    </w:p>
    <w:p>
      <w:pPr>
        <w:spacing w:after="40" w:before="40" w:line="300"/>
        <w:ind w:left="431"/>
      </w:pPr>
      <w:r>
        <w:rPr>
          <w:rFonts w:ascii="游ゴシック" w:cs="游ゴシック" w:eastAsia="游ゴシック" w:hAnsi="游ゴシック"/>
          <w:i w:val="false"/>
          <w:iCs w:val="false"/>
          <w:sz w:val="21"/>
          <w:szCs w:val="21"/>
        </w:rPr>
        <w:t xml:space="preserve">①　本人及び家族等の意見の反映（基本法第13条第3項において準用する第12条第3項）：市町村計画の案を作成しようとするときは、あらかじめ、認知症の人及び家族等の意見を聴くよう努めなければならないとされています。本町では、地域包括支援センター及び国保川崎病院を経由して聴取し、計画書案の作成前に本章へ反映します。この手続は、介護保険保険者努力支援交付金 目標Ⅱ（ⅰ）1のカ「認知症の人及び家族等の意見を踏まえた市町村認知症施策推進計画の策定に着手している」（配点5点・全国の得点率42.8％）の要件そのものです。本町は同項目のア〜オ（20点）をすべて満点で得ている一方、カのみ令和8年度0点です。意見を反映させる仕組みを整えたうえで策定に着手することにより、5点を得られます（第3章3-3）。</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認知症の日・認知症月間の事業・行事の実施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 活動状況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チーム数・支援件数を把握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1"/>
          <w:szCs w:val="21"/>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81.3</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2"/>
          <w:szCs w:val="22"/>
        </w:rPr>
        <w:t xml:space="preserve">　▌ 必要利用定員総数（日常生活圏域ごと）</w:t>
      </w:r>
    </w:p>
    <w:p>
      <w:pPr>
        <w:spacing w:after="80" w:before="180" w:line="300"/>
      </w:pPr>
      <w:r>
        <w:rPr>
          <w:rFonts w:ascii="游ゴシック" w:cs="游ゴシック" w:eastAsia="游ゴシック" w:hAnsi="游ゴシック"/>
          <w:b w:val="1"/>
          <w:bCs w:val="1"/>
          <w:i w:val="false"/>
          <w:iCs w:val="false"/>
          <w:sz w:val="22"/>
          <w:szCs w:val="22"/>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［要確認］</w:t>
            </w:r>
          </w:p>
        </w:tc>
      </w:tr>
    </w:tbl>
    <w:p>
      <w:pPr>
        <w:spacing w:after="80" w:before="180" w:line="300"/>
      </w:pPr>
      <w:r>
        <w:rPr>
          <w:rFonts w:ascii="游ゴシック" w:cs="游ゴシック" w:eastAsia="游ゴシック" w:hAnsi="游ゴシック"/>
          <w:b w:val="1"/>
          <w:bCs w:val="1"/>
          <w:i w:val="false"/>
          <w:iCs w:val="false"/>
          <w:sz w:val="22"/>
          <w:szCs w:val="22"/>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2"/>
          <w:szCs w:val="22"/>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2"/>
          <w:szCs w:val="22"/>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6,822円／B 6,170円／C 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+322円／B ▲330円／C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273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1"/>
          <w:szCs w:val="21"/>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3,462,714千円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1,151,709千円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1,158,134千円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796,424千円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765,751千円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258,703千円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1,304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6,170円（第9期比 ▲330円）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5,518円（第9期比 ▲982円）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6,822円、パターンB 6,170円、パターンC 5,518円となります。第9期の6,500円との差は、それぞれ＋322円、▲330円、▲982円です。準備基金152,500千円は保険料に換算して月額約1,304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273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4"/>
        <w:gridCol w:w="135"/>
        <w:gridCol w:w="135"/>
        <w:gridCol w:w="62"/>
        <w:gridCol w:w="54"/>
      </w:tblGrid>
      <w:tr>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前提</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本算定の置き方</w:t>
            </w:r>
          </w:p>
        </w:tc>
        <w:tc>
          <w:tcPr>
            <w:tcW w:type="dxa" w:w="13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動かした場合</w:t>
            </w:r>
          </w:p>
        </w:tc>
        <w:tc>
          <w:tcPr>
            <w:tcW w:type="dxa"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介護給付費準備基金の取崩し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0円（算定Ａ）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76,250千円（50％取崩し・算定Ｂ）</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152,500千円（全額取崩し・算定Ｃ）</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78,000千円（第9期と同額）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6,155円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第1号被保険者負担割合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調整交付金の見込交付割合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5.0％（標準）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介護報酬改定率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0％（令和7年度の単価で固定）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予定保険料収納率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96.0％（第9期と同じ）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99.6％（令和7年度の現年度分実績）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システムの現行値（3か年148,789千円）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令和7年度実績で据え置き（3か年109,827千円）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所得段階別加入割合の補正係数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1.013748（令和7年度末の実績）</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0.964047（見える化システムの登録値）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＋352円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算定Ｂ（基金50％取崩・月額6,170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2,807円（軽減後1,759円）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4,227円（軽減後2,993円）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4,257円（軽減後4,227円）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5,553円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7,404円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8,021円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9,255円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10,489円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11,723円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12,957円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14,192円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14,809円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出典：乗率及び第9期月額は第9期計画書95頁。第10期月額は本計画の算定Ｂ（月額6,170円）に第9期の乗率を乗じた参考値であり、国の標準乗率の提示を経て確定する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