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游ゴシック" w:hAnsi="游ゴシック" w:eastAsia="游ゴシック"/>
          <w:b w:val="0"/>
          <w:sz w:val="24"/>
        </w:rPr>
        <w:t>大雪地区広域連合　第10期介護保険事業計画</w:t>
      </w:r>
    </w:p>
    <w:p>
      <w:pPr>
        <w:spacing w:after="40"/>
        <w:jc w:val="center"/>
      </w:pPr>
      <w:r>
        <w:rPr>
          <w:rFonts w:ascii="游ゴシック" w:hAnsi="游ゴシック" w:eastAsia="游ゴシック"/>
          <w:b/>
          <w:color w:val="1F3864"/>
          <w:sz w:val="36"/>
        </w:rPr>
        <w:t>構成3町合同　意見交換会　資料</w:t>
      </w:r>
    </w:p>
    <w:p>
      <w:pPr>
        <w:spacing w:after="80"/>
        <w:jc w:val="center"/>
      </w:pPr>
      <w:r>
        <w:rPr>
          <w:rFonts w:ascii="游ゴシック" w:hAnsi="游ゴシック" w:eastAsia="游ゴシック"/>
          <w:b w:val="0"/>
          <w:sz w:val="20"/>
        </w:rPr>
        <w:t>令和8年10月　　大雪地区広域連合・東川町・美瑛町・東神楽町</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第10期介護保険事業計画（令和9年度から令和11年度まで）の策定に当たり、構成3町と広域連合で共通の認識を持っていただきたい事項と、ご決定をお願いする事項をまとめたものです。基準日 令和8年10月1日。</w:t>
      </w:r>
    </w:p>
    <w:p>
      <w:pPr>
        <w:spacing w:after="80"/>
      </w:pPr>
      <w:r>
        <w:rPr>
          <w:rFonts w:ascii="游ゴシック" w:hAnsi="游ゴシック" w:eastAsia="游ゴシック"/>
          <w:b w:val="0"/>
          <w:sz w:val="21"/>
        </w:rPr>
        <w:t>ご決定をお願いする事項には、</w:t>
      </w:r>
      <w:r>
        <w:rPr>
          <w:rFonts w:ascii="游ゴシック" w:hAnsi="游ゴシック" w:eastAsia="游ゴシック"/>
          <w:b/>
          <w:sz w:val="21"/>
        </w:rPr>
        <w:t>すべて「決まらない場合の当方の扱い」を置いています。</w:t>
      </w:r>
      <w:r>
        <w:rPr>
          <w:rFonts w:ascii="游ゴシック" w:hAnsi="游ゴシック" w:eastAsia="游ゴシック"/>
          <w:b w:val="0"/>
          <w:sz w:val="21"/>
        </w:rPr>
        <w:t xml:space="preserve"> これは協議を進めるための仮置きであり、本意見交換会でその内容を諮るものです。ご決定がない場合もサービス見込量 第2次概算（令和8年10月30日）は組むことができますが、計画として確定する前にご判断を要します。</w:t>
      </w:r>
    </w:p>
    <w:p>
      <w:pPr>
        <w:keepNext/>
        <w:pageBreakBefore w:val="0"/>
        <w:spacing w:before="280" w:after="120"/>
      </w:pPr>
      <w:r>
        <w:rPr>
          <w:rFonts w:ascii="游ゴシック" w:hAnsi="游ゴシック" w:eastAsia="游ゴシック"/>
          <w:b/>
          <w:color w:val="1F3864"/>
          <w:sz w:val="26"/>
        </w:rPr>
        <w:t>第1節　意見交換会の次第</w:t>
      </w:r>
    </w:p>
    <w:p>
      <w:pPr>
        <w:keepNext/>
        <w:spacing w:before="160" w:after="40"/>
      </w:pPr>
      <w:r>
        <w:rPr>
          <w:rFonts w:ascii="游ゴシック" w:hAnsi="游ゴシック" w:eastAsia="游ゴシック"/>
          <w:b/>
          <w:sz w:val="20"/>
        </w:rPr>
        <w:t>表1　次第</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4876"/>
        <w:gridCol w:w="4876"/>
      </w:tblGrid>
      <w:tr>
        <w:trPr>
          <w:tblHeader/>
        </w:trPr>
        <w:tc>
          <w:tcPr>
            <w:tcW w:type="dxa" w:w="1474"/>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8277"/>
            <w:shd w:val="clear" w:color="auto" w:fill="1F3864"/>
            <w:vAlign w:val="center"/>
          </w:tcPr>
          <w:p>
            <w:pPr>
              <w:keepNext/>
              <w:spacing w:after="0"/>
              <w:jc w:val="center"/>
            </w:pPr>
            <w:r>
              <w:rPr>
                <w:rFonts w:ascii="游ゴシック" w:hAnsi="游ゴシック" w:eastAsia="游ゴシック"/>
                <w:b/>
                <w:color w:val="FFFFFF"/>
                <w:sz w:val="18"/>
              </w:rPr>
              <w:t>内容</w:t>
            </w:r>
          </w:p>
        </w:tc>
      </w:tr>
      <w:tr>
        <w:trPr>
          <w:cantSplit/>
        </w:trPr>
        <w:tc>
          <w:tcPr>
            <w:tcW w:type="dxa" w:w="1474"/>
            <w:vAlign w:val="center"/>
          </w:tcPr>
          <w:p>
            <w:pPr>
              <w:keepNext/>
              <w:spacing w:after="0"/>
              <w:jc w:val="center"/>
            </w:pPr>
            <w:r>
              <w:rPr>
                <w:rFonts w:ascii="游ゴシック" w:hAnsi="游ゴシック" w:eastAsia="游ゴシック"/>
                <w:b/>
                <w:sz w:val="18"/>
              </w:rPr>
              <w:t>日時</w:t>
            </w:r>
          </w:p>
        </w:tc>
        <w:tc>
          <w:tcPr>
            <w:tcW w:type="dxa" w:w="8277"/>
            <w:vAlign w:val="center"/>
          </w:tcPr>
          <w:p>
            <w:pPr>
              <w:keepNext/>
              <w:spacing w:after="0"/>
            </w:pPr>
            <w:r>
              <w:rPr>
                <w:rFonts w:ascii="游ゴシック" w:hAnsi="游ゴシック" w:eastAsia="游ゴシック"/>
                <w:b w:val="0"/>
                <w:sz w:val="18"/>
              </w:rPr>
              <w:t>令和8年10月　〔　　　　　　　　　　〕</w:t>
            </w:r>
          </w:p>
        </w:tc>
      </w:tr>
      <w:tr>
        <w:trPr>
          <w:cantSplit/>
        </w:trPr>
        <w:tc>
          <w:tcPr>
            <w:tcW w:type="dxa" w:w="1474"/>
            <w:shd w:val="clear" w:color="auto" w:fill="F2F5FA"/>
            <w:vAlign w:val="center"/>
          </w:tcPr>
          <w:p>
            <w:pPr>
              <w:keepNext/>
              <w:spacing w:after="0"/>
              <w:jc w:val="center"/>
            </w:pPr>
            <w:r>
              <w:rPr>
                <w:rFonts w:ascii="游ゴシック" w:hAnsi="游ゴシック" w:eastAsia="游ゴシック"/>
                <w:b/>
                <w:sz w:val="18"/>
              </w:rPr>
              <w:t>場所</w:t>
            </w:r>
          </w:p>
        </w:tc>
        <w:tc>
          <w:tcPr>
            <w:tcW w:type="dxa" w:w="8277"/>
            <w:shd w:val="clear" w:color="auto" w:fill="F2F5FA"/>
            <w:vAlign w:val="center"/>
          </w:tcPr>
          <w:p>
            <w:pPr>
              <w:keepNext/>
              <w:spacing w:after="0"/>
            </w:pPr>
            <w:r>
              <w:rPr>
                <w:rFonts w:ascii="游ゴシック" w:hAnsi="游ゴシック" w:eastAsia="游ゴシック"/>
                <w:b w:val="0"/>
                <w:sz w:val="18"/>
              </w:rPr>
              <w:t>〔　　　　　　　　　　　　　　　〕</w:t>
            </w:r>
          </w:p>
        </w:tc>
      </w:tr>
      <w:tr>
        <w:trPr>
          <w:cantSplit/>
        </w:trPr>
        <w:tc>
          <w:tcPr>
            <w:tcW w:type="dxa" w:w="1474"/>
            <w:vAlign w:val="center"/>
          </w:tcPr>
          <w:p>
            <w:pPr>
              <w:keepNext/>
              <w:spacing w:after="0"/>
              <w:jc w:val="center"/>
            </w:pPr>
            <w:r>
              <w:rPr>
                <w:rFonts w:ascii="游ゴシック" w:hAnsi="游ゴシック" w:eastAsia="游ゴシック"/>
                <w:b/>
                <w:sz w:val="18"/>
              </w:rPr>
              <w:t>出席</w:t>
            </w:r>
          </w:p>
        </w:tc>
        <w:tc>
          <w:tcPr>
            <w:tcW w:type="dxa" w:w="8277"/>
            <w:vAlign w:val="center"/>
          </w:tcPr>
          <w:p>
            <w:pPr>
              <w:keepNext/>
              <w:spacing w:after="0"/>
            </w:pPr>
            <w:r>
              <w:rPr>
                <w:rFonts w:ascii="游ゴシック" w:hAnsi="游ゴシック" w:eastAsia="游ゴシック"/>
                <w:b w:val="0"/>
                <w:sz w:val="18"/>
              </w:rPr>
              <w:t>大雪地区広域連合、東川町、美瑛町、東神楽町、受託者</w:t>
            </w:r>
          </w:p>
        </w:tc>
      </w:tr>
      <w:tr>
        <w:trPr>
          <w:cantSplit/>
        </w:trPr>
        <w:tc>
          <w:tcPr>
            <w:tcW w:type="dxa" w:w="1474"/>
            <w:shd w:val="clear" w:color="auto" w:fill="F2F5FA"/>
            <w:vAlign w:val="center"/>
          </w:tcPr>
          <w:p>
            <w:pPr>
              <w:keepNext/>
              <w:spacing w:after="0"/>
              <w:jc w:val="center"/>
            </w:pPr>
            <w:r>
              <w:rPr>
                <w:rFonts w:ascii="游ゴシック" w:hAnsi="游ゴシック" w:eastAsia="游ゴシック"/>
                <w:b/>
                <w:sz w:val="18"/>
              </w:rPr>
              <w:t>1</w:t>
            </w:r>
          </w:p>
        </w:tc>
        <w:tc>
          <w:tcPr>
            <w:tcW w:type="dxa" w:w="8277"/>
            <w:shd w:val="clear" w:color="auto" w:fill="F2F5FA"/>
            <w:vAlign w:val="center"/>
          </w:tcPr>
          <w:p>
            <w:pPr>
              <w:keepNext/>
              <w:spacing w:after="0"/>
            </w:pPr>
            <w:r>
              <w:rPr>
                <w:rFonts w:ascii="游ゴシック" w:hAnsi="游ゴシック" w:eastAsia="游ゴシック"/>
                <w:b w:val="0"/>
                <w:sz w:val="18"/>
              </w:rPr>
              <w:t>第10期計画の策定の状況（第2節）</w:t>
            </w:r>
          </w:p>
        </w:tc>
      </w:tr>
      <w:tr>
        <w:trPr>
          <w:cantSplit/>
        </w:trPr>
        <w:tc>
          <w:tcPr>
            <w:tcW w:type="dxa" w:w="1474"/>
            <w:vAlign w:val="center"/>
          </w:tcPr>
          <w:p>
            <w:pPr>
              <w:keepNext/>
              <w:spacing w:after="0"/>
              <w:jc w:val="center"/>
            </w:pPr>
            <w:r>
              <w:rPr>
                <w:rFonts w:ascii="游ゴシック" w:hAnsi="游ゴシック" w:eastAsia="游ゴシック"/>
                <w:b/>
                <w:sz w:val="18"/>
              </w:rPr>
              <w:t>2</w:t>
            </w:r>
          </w:p>
        </w:tc>
        <w:tc>
          <w:tcPr>
            <w:tcW w:type="dxa" w:w="8277"/>
            <w:vAlign w:val="center"/>
          </w:tcPr>
          <w:p>
            <w:pPr>
              <w:keepNext/>
              <w:spacing w:after="0"/>
            </w:pPr>
            <w:r>
              <w:rPr>
                <w:rFonts w:ascii="游ゴシック" w:hAnsi="游ゴシック" w:eastAsia="游ゴシック"/>
                <w:b w:val="0"/>
                <w:sz w:val="18"/>
              </w:rPr>
              <w:t>サービス見込量・給付費・保険料の試算（第3節・第4節）</w:t>
            </w:r>
          </w:p>
        </w:tc>
      </w:tr>
      <w:tr>
        <w:trPr>
          <w:cantSplit/>
        </w:trPr>
        <w:tc>
          <w:tcPr>
            <w:tcW w:type="dxa" w:w="1474"/>
            <w:shd w:val="clear" w:color="auto" w:fill="F2F5FA"/>
            <w:vAlign w:val="center"/>
          </w:tcPr>
          <w:p>
            <w:pPr>
              <w:keepNext/>
              <w:spacing w:after="0"/>
              <w:jc w:val="center"/>
            </w:pPr>
            <w:r>
              <w:rPr>
                <w:rFonts w:ascii="游ゴシック" w:hAnsi="游ゴシック" w:eastAsia="游ゴシック"/>
                <w:b/>
                <w:sz w:val="18"/>
              </w:rPr>
              <w:t>3</w:t>
            </w:r>
          </w:p>
        </w:tc>
        <w:tc>
          <w:tcPr>
            <w:tcW w:type="dxa" w:w="8277"/>
            <w:shd w:val="clear" w:color="auto" w:fill="F2F5FA"/>
            <w:vAlign w:val="center"/>
          </w:tcPr>
          <w:p>
            <w:pPr>
              <w:keepNext/>
              <w:spacing w:after="0"/>
            </w:pPr>
            <w:r>
              <w:rPr>
                <w:rFonts w:ascii="游ゴシック" w:hAnsi="游ゴシック" w:eastAsia="游ゴシック"/>
                <w:b w:val="0"/>
                <w:sz w:val="18"/>
              </w:rPr>
              <w:t>地域の課題（第5節）</w:t>
            </w:r>
          </w:p>
        </w:tc>
      </w:tr>
      <w:tr>
        <w:trPr>
          <w:cantSplit/>
        </w:trPr>
        <w:tc>
          <w:tcPr>
            <w:tcW w:type="dxa" w:w="1474"/>
            <w:vAlign w:val="center"/>
          </w:tcPr>
          <w:p>
            <w:pPr>
              <w:keepNext/>
              <w:spacing w:after="0"/>
              <w:jc w:val="center"/>
            </w:pPr>
            <w:r>
              <w:rPr>
                <w:rFonts w:ascii="游ゴシック" w:hAnsi="游ゴシック" w:eastAsia="游ゴシック"/>
                <w:b/>
                <w:sz w:val="18"/>
              </w:rPr>
              <w:t>4</w:t>
            </w:r>
          </w:p>
        </w:tc>
        <w:tc>
          <w:tcPr>
            <w:tcW w:type="dxa" w:w="8277"/>
            <w:vAlign w:val="center"/>
          </w:tcPr>
          <w:p>
            <w:pPr>
              <w:keepNext/>
              <w:spacing w:after="0"/>
            </w:pPr>
            <w:r>
              <w:rPr>
                <w:rFonts w:ascii="游ゴシック" w:hAnsi="游ゴシック" w:eastAsia="游ゴシック"/>
                <w:b w:val="0"/>
                <w:sz w:val="18"/>
              </w:rPr>
              <w:t>ご決定をお願いする事項　25件（第6節）</w:t>
            </w:r>
          </w:p>
        </w:tc>
      </w:tr>
      <w:tr>
        <w:trPr>
          <w:cantSplit/>
        </w:trPr>
        <w:tc>
          <w:tcPr>
            <w:tcW w:type="dxa" w:w="1474"/>
            <w:shd w:val="clear" w:color="auto" w:fill="F2F5FA"/>
            <w:vAlign w:val="center"/>
          </w:tcPr>
          <w:p>
            <w:pPr>
              <w:keepNext/>
              <w:spacing w:after="0"/>
              <w:jc w:val="center"/>
            </w:pPr>
            <w:r>
              <w:rPr>
                <w:rFonts w:ascii="游ゴシック" w:hAnsi="游ゴシック" w:eastAsia="游ゴシック"/>
                <w:b/>
                <w:sz w:val="18"/>
              </w:rPr>
              <w:t>5</w:t>
            </w:r>
          </w:p>
        </w:tc>
        <w:tc>
          <w:tcPr>
            <w:tcW w:type="dxa" w:w="8277"/>
            <w:shd w:val="clear" w:color="auto" w:fill="F2F5FA"/>
            <w:vAlign w:val="center"/>
          </w:tcPr>
          <w:p>
            <w:pPr>
              <w:keepNext/>
              <w:spacing w:after="0"/>
            </w:pPr>
            <w:r>
              <w:rPr>
                <w:rFonts w:ascii="游ゴシック" w:hAnsi="游ゴシック" w:eastAsia="游ゴシック"/>
                <w:b w:val="0"/>
                <w:sz w:val="18"/>
              </w:rPr>
              <w:t>認知症施策推進計画の扱い（第7節）</w:t>
            </w:r>
          </w:p>
        </w:tc>
      </w:tr>
      <w:tr>
        <w:trPr>
          <w:cantSplit/>
        </w:trPr>
        <w:tc>
          <w:tcPr>
            <w:tcW w:type="dxa" w:w="1474"/>
            <w:vAlign w:val="center"/>
          </w:tcPr>
          <w:p>
            <w:pPr>
              <w:spacing w:after="0"/>
              <w:jc w:val="center"/>
            </w:pPr>
            <w:r>
              <w:rPr>
                <w:rFonts w:ascii="游ゴシック" w:hAnsi="游ゴシック" w:eastAsia="游ゴシック"/>
                <w:b/>
                <w:sz w:val="18"/>
              </w:rPr>
              <w:t>6</w:t>
            </w:r>
          </w:p>
        </w:tc>
        <w:tc>
          <w:tcPr>
            <w:tcW w:type="dxa" w:w="8277"/>
            <w:vAlign w:val="center"/>
          </w:tcPr>
          <w:p>
            <w:pPr>
              <w:spacing w:after="0"/>
            </w:pPr>
            <w:r>
              <w:rPr>
                <w:rFonts w:ascii="游ゴシック" w:hAnsi="游ゴシック" w:eastAsia="游ゴシック"/>
                <w:b w:val="0"/>
                <w:sz w:val="18"/>
              </w:rPr>
              <w:t>資料のご提供のお願いと今後の進め方（第9節・第10節）</w:t>
            </w:r>
          </w:p>
        </w:tc>
      </w:tr>
    </w:tbl>
    <w:p>
      <w:pPr>
        <w:ind w:left="227"/>
      </w:pPr>
      <w:r>
        <w:rPr>
          <w:rFonts w:ascii="游ゴシック" w:hAnsi="游ゴシック" w:eastAsia="游ゴシック"/>
          <w:b w:val="0"/>
          <w:sz w:val="18"/>
        </w:rPr>
        <w:t>※ 町ごとの個別協議（令和8年10月中旬から下旬）でお伺いする事項は第8節に掲げています。本意見交換会では扱いません。</w:t>
      </w:r>
    </w:p>
    <w:p>
      <w:pPr>
        <w:keepNext/>
        <w:pageBreakBefore/>
        <w:spacing w:before="0" w:after="120"/>
      </w:pPr>
      <w:r>
        <w:rPr>
          <w:rFonts w:ascii="游ゴシック" w:hAnsi="游ゴシック" w:eastAsia="游ゴシック"/>
          <w:b/>
          <w:color w:val="1F3864"/>
          <w:sz w:val="26"/>
        </w:rPr>
        <w:t>第2節　第10期計画の策定の状況</w:t>
      </w:r>
    </w:p>
    <w:p>
      <w:pPr>
        <w:keepNext/>
        <w:spacing w:before="180" w:after="60"/>
      </w:pPr>
      <w:r>
        <w:rPr>
          <w:rFonts w:ascii="游ゴシック" w:hAnsi="游ゴシック" w:eastAsia="游ゴシック"/>
          <w:b/>
          <w:sz w:val="22"/>
        </w:rPr>
        <w:t>1　算定が済んでいるもの</w:t>
      </w:r>
    </w:p>
    <w:p>
      <w:pPr>
        <w:spacing w:after="80"/>
      </w:pPr>
      <w:r>
        <w:rPr>
          <w:rFonts w:ascii="游ゴシック" w:hAnsi="游ゴシック" w:eastAsia="游ゴシック"/>
          <w:b w:val="0"/>
          <w:sz w:val="20"/>
        </w:rPr>
        <w:t>次の事項は、現に確認できている資料により算定を終えています。資料の追加のご提供を待たずに第2次概算に用いることができます。</w:t>
      </w:r>
    </w:p>
    <w:p>
      <w:pPr>
        <w:keepNext/>
        <w:spacing w:before="160" w:after="40"/>
      </w:pPr>
      <w:r>
        <w:rPr>
          <w:rFonts w:ascii="游ゴシック" w:hAnsi="游ゴシック" w:eastAsia="游ゴシック"/>
          <w:b/>
          <w:sz w:val="20"/>
        </w:rPr>
        <w:t>表2　算定を終えている事項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041"/>
            <w:shd w:val="clear" w:color="auto" w:fill="1F3864"/>
            <w:vAlign w:val="center"/>
          </w:tcPr>
          <w:p>
            <w:pPr>
              <w:keepNext/>
              <w:spacing w:after="0"/>
              <w:jc w:val="center"/>
            </w:pPr>
            <w:r>
              <w:rPr>
                <w:rFonts w:ascii="游ゴシック" w:hAnsi="游ゴシック" w:eastAsia="游ゴシック"/>
                <w:b/>
                <w:color w:val="FFFFFF"/>
                <w:sz w:val="18"/>
              </w:rPr>
              <w:t>事項</w:t>
            </w:r>
          </w:p>
        </w:tc>
        <w:tc>
          <w:tcPr>
            <w:tcW w:type="dxa" w:w="5329"/>
            <w:shd w:val="clear" w:color="auto" w:fill="1F3864"/>
            <w:vAlign w:val="center"/>
          </w:tcPr>
          <w:p>
            <w:pPr>
              <w:keepNext/>
              <w:spacing w:after="0"/>
              <w:jc w:val="center"/>
            </w:pPr>
            <w:r>
              <w:rPr>
                <w:rFonts w:ascii="游ゴシック" w:hAnsi="游ゴシック" w:eastAsia="游ゴシック"/>
                <w:b/>
                <w:color w:val="FFFFFF"/>
                <w:sz w:val="18"/>
              </w:rPr>
              <w:t>内容</w:t>
            </w:r>
          </w:p>
        </w:tc>
        <w:tc>
          <w:tcPr>
            <w:tcW w:type="dxa" w:w="2381"/>
            <w:shd w:val="clear" w:color="auto" w:fill="1F3864"/>
            <w:vAlign w:val="center"/>
          </w:tcPr>
          <w:p>
            <w:pPr>
              <w:keepNext/>
              <w:spacing w:after="0"/>
              <w:jc w:val="center"/>
            </w:pPr>
            <w:r>
              <w:rPr>
                <w:rFonts w:ascii="游ゴシック" w:hAnsi="游ゴシック" w:eastAsia="游ゴシック"/>
                <w:b/>
                <w:color w:val="FFFFFF"/>
                <w:sz w:val="18"/>
              </w:rPr>
              <w:t>計画本文</w:t>
            </w:r>
          </w:p>
        </w:tc>
      </w:tr>
      <w:tr>
        <w:trPr>
          <w:cantSplit/>
        </w:trPr>
        <w:tc>
          <w:tcPr>
            <w:tcW w:type="dxa" w:w="2041"/>
            <w:vAlign w:val="center"/>
          </w:tcPr>
          <w:p>
            <w:pPr>
              <w:keepNext/>
              <w:spacing w:after="0"/>
            </w:pPr>
            <w:r>
              <w:rPr>
                <w:rFonts w:ascii="游ゴシック" w:hAnsi="游ゴシック" w:eastAsia="游ゴシック"/>
                <w:b/>
                <w:sz w:val="18"/>
              </w:rPr>
              <w:t>人口・第1号被保険者数</w:t>
            </w:r>
          </w:p>
        </w:tc>
        <w:tc>
          <w:tcPr>
            <w:tcW w:type="dxa" w:w="5329"/>
            <w:vAlign w:val="center"/>
          </w:tcPr>
          <w:p>
            <w:pPr>
              <w:keepNext/>
              <w:spacing w:after="0"/>
            </w:pPr>
            <w:r>
              <w:rPr>
                <w:rFonts w:ascii="游ゴシック" w:hAnsi="游ゴシック" w:eastAsia="游ゴシック"/>
                <w:b w:val="0"/>
                <w:sz w:val="18"/>
              </w:rPr>
              <w:t>令和9年度から令和32年度まで（総合戦略及び住民基本台帳の実績趨勢による案C）</w:t>
            </w:r>
          </w:p>
        </w:tc>
        <w:tc>
          <w:tcPr>
            <w:tcW w:type="dxa" w:w="2381"/>
            <w:vAlign w:val="center"/>
          </w:tcPr>
          <w:p>
            <w:pPr>
              <w:keepNext/>
              <w:spacing w:after="0"/>
            </w:pPr>
            <w:r>
              <w:rPr>
                <w:rFonts w:ascii="游ゴシック" w:hAnsi="游ゴシック" w:eastAsia="游ゴシック"/>
                <w:b w:val="0"/>
                <w:sz w:val="18"/>
              </w:rPr>
              <w:t>第2章第1節・第6章第1節</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認定者数</w:t>
            </w:r>
          </w:p>
        </w:tc>
        <w:tc>
          <w:tcPr>
            <w:tcW w:type="dxa" w:w="5329"/>
            <w:shd w:val="clear" w:color="auto" w:fill="F2F5FA"/>
            <w:vAlign w:val="center"/>
          </w:tcPr>
          <w:p>
            <w:pPr>
              <w:keepNext/>
              <w:spacing w:after="0"/>
            </w:pPr>
            <w:r>
              <w:rPr>
                <w:rFonts w:ascii="游ゴシック" w:hAnsi="游ゴシック" w:eastAsia="游ゴシック"/>
                <w:b w:val="0"/>
                <w:sz w:val="18"/>
              </w:rPr>
              <w:t>性別・年齢階級別・要介護度別。令和11年度2,067人、令和22年度2,288人</w:t>
            </w:r>
          </w:p>
        </w:tc>
        <w:tc>
          <w:tcPr>
            <w:tcW w:type="dxa" w:w="2381"/>
            <w:shd w:val="clear" w:color="auto" w:fill="F2F5FA"/>
            <w:vAlign w:val="center"/>
          </w:tcPr>
          <w:p>
            <w:pPr>
              <w:keepNext/>
              <w:spacing w:after="0"/>
            </w:pPr>
            <w:r>
              <w:rPr>
                <w:rFonts w:ascii="游ゴシック" w:hAnsi="游ゴシック" w:eastAsia="游ゴシック"/>
                <w:b w:val="0"/>
                <w:sz w:val="18"/>
              </w:rPr>
              <w:t>第6章第1節</w:t>
            </w:r>
          </w:p>
        </w:tc>
      </w:tr>
      <w:tr>
        <w:trPr>
          <w:cantSplit/>
        </w:trPr>
        <w:tc>
          <w:tcPr>
            <w:tcW w:type="dxa" w:w="2041"/>
            <w:vAlign w:val="center"/>
          </w:tcPr>
          <w:p>
            <w:pPr>
              <w:keepNext/>
              <w:spacing w:after="0"/>
            </w:pPr>
            <w:r>
              <w:rPr>
                <w:rFonts w:ascii="游ゴシック" w:hAnsi="游ゴシック" w:eastAsia="游ゴシック"/>
                <w:b/>
                <w:sz w:val="18"/>
              </w:rPr>
              <w:t>サービス見込量</w:t>
            </w:r>
          </w:p>
        </w:tc>
        <w:tc>
          <w:tcPr>
            <w:tcW w:type="dxa" w:w="5329"/>
            <w:vAlign w:val="center"/>
          </w:tcPr>
          <w:p>
            <w:pPr>
              <w:keepNext/>
              <w:spacing w:after="0"/>
            </w:pPr>
            <w:r>
              <w:rPr>
                <w:rFonts w:ascii="游ゴシック" w:hAnsi="游ゴシック" w:eastAsia="游ゴシック"/>
                <w:b w:val="0"/>
                <w:sz w:val="18"/>
              </w:rPr>
              <w:t>29区分の1月当たり利用者数（要介護度別）</w:t>
            </w:r>
          </w:p>
        </w:tc>
        <w:tc>
          <w:tcPr>
            <w:tcW w:type="dxa" w:w="2381"/>
            <w:vAlign w:val="center"/>
          </w:tcPr>
          <w:p>
            <w:pPr>
              <w:keepNext/>
              <w:spacing w:after="0"/>
            </w:pPr>
            <w:r>
              <w:rPr>
                <w:rFonts w:ascii="游ゴシック" w:hAnsi="游ゴシック" w:eastAsia="游ゴシック"/>
                <w:b w:val="0"/>
                <w:sz w:val="18"/>
              </w:rPr>
              <w:t>第6章第2節</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利用回（日）数</w:t>
            </w:r>
          </w:p>
        </w:tc>
        <w:tc>
          <w:tcPr>
            <w:tcW w:type="dxa" w:w="5329"/>
            <w:shd w:val="clear" w:color="auto" w:fill="F2F5FA"/>
            <w:vAlign w:val="center"/>
          </w:tcPr>
          <w:p>
            <w:pPr>
              <w:keepNext/>
              <w:spacing w:after="0"/>
            </w:pPr>
            <w:r>
              <w:rPr>
                <w:rFonts w:ascii="游ゴシック" w:hAnsi="游ゴシック" w:eastAsia="游ゴシック"/>
                <w:b w:val="0"/>
                <w:sz w:val="18"/>
              </w:rPr>
              <w:t>12区分</w:t>
            </w:r>
          </w:p>
        </w:tc>
        <w:tc>
          <w:tcPr>
            <w:tcW w:type="dxa" w:w="2381"/>
            <w:shd w:val="clear" w:color="auto" w:fill="F2F5FA"/>
            <w:vAlign w:val="center"/>
          </w:tcPr>
          <w:p>
            <w:pPr>
              <w:keepNext/>
              <w:spacing w:after="0"/>
            </w:pPr>
            <w:r>
              <w:rPr>
                <w:rFonts w:ascii="游ゴシック" w:hAnsi="游ゴシック" w:eastAsia="游ゴシック"/>
                <w:b w:val="0"/>
                <w:sz w:val="18"/>
              </w:rPr>
              <w:t>第6章第2節</w:t>
            </w:r>
          </w:p>
        </w:tc>
      </w:tr>
      <w:tr>
        <w:trPr>
          <w:cantSplit/>
        </w:trPr>
        <w:tc>
          <w:tcPr>
            <w:tcW w:type="dxa" w:w="2041"/>
            <w:vAlign w:val="center"/>
          </w:tcPr>
          <w:p>
            <w:pPr>
              <w:keepNext/>
              <w:spacing w:after="0"/>
            </w:pPr>
            <w:r>
              <w:rPr>
                <w:rFonts w:ascii="游ゴシック" w:hAnsi="游ゴシック" w:eastAsia="游ゴシック"/>
                <w:b/>
                <w:sz w:val="18"/>
              </w:rPr>
              <w:t>地域支援事業の量</w:t>
            </w:r>
          </w:p>
        </w:tc>
        <w:tc>
          <w:tcPr>
            <w:tcW w:type="dxa" w:w="5329"/>
            <w:vAlign w:val="center"/>
          </w:tcPr>
          <w:p>
            <w:pPr>
              <w:keepNext/>
              <w:spacing w:after="0"/>
            </w:pPr>
            <w:r>
              <w:rPr>
                <w:rFonts w:ascii="游ゴシック" w:hAnsi="游ゴシック" w:eastAsia="游ゴシック"/>
                <w:b w:val="0"/>
                <w:sz w:val="18"/>
              </w:rPr>
              <w:t>総合事業9項目・一般介護予防事業3項目</w:t>
            </w:r>
          </w:p>
        </w:tc>
        <w:tc>
          <w:tcPr>
            <w:tcW w:type="dxa" w:w="2381"/>
            <w:vAlign w:val="center"/>
          </w:tcPr>
          <w:p>
            <w:pPr>
              <w:keepNext/>
              <w:spacing w:after="0"/>
            </w:pPr>
            <w:r>
              <w:rPr>
                <w:rFonts w:ascii="游ゴシック" w:hAnsi="游ゴシック" w:eastAsia="游ゴシック"/>
                <w:b w:val="0"/>
                <w:sz w:val="18"/>
              </w:rPr>
              <w:t>第6章第3節</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給付費</w:t>
            </w:r>
          </w:p>
        </w:tc>
        <w:tc>
          <w:tcPr>
            <w:tcW w:type="dxa" w:w="5329"/>
            <w:shd w:val="clear" w:color="auto" w:fill="F2F5FA"/>
            <w:vAlign w:val="center"/>
          </w:tcPr>
          <w:p>
            <w:pPr>
              <w:keepNext/>
              <w:spacing w:after="0"/>
            </w:pPr>
            <w:r>
              <w:rPr>
                <w:rFonts w:ascii="游ゴシック" w:hAnsi="游ゴシック" w:eastAsia="游ゴシック"/>
                <w:b w:val="0"/>
                <w:sz w:val="18"/>
              </w:rPr>
              <w:t>要介護度別の単価による。3か年計9,035,114,142円</w:t>
            </w:r>
          </w:p>
        </w:tc>
        <w:tc>
          <w:tcPr>
            <w:tcW w:type="dxa" w:w="2381"/>
            <w:shd w:val="clear" w:color="auto" w:fill="F2F5FA"/>
            <w:vAlign w:val="center"/>
          </w:tcPr>
          <w:p>
            <w:pPr>
              <w:keepNext/>
              <w:spacing w:after="0"/>
            </w:pPr>
            <w:r>
              <w:rPr>
                <w:rFonts w:ascii="游ゴシック" w:hAnsi="游ゴシック" w:eastAsia="游ゴシック"/>
                <w:b w:val="0"/>
                <w:sz w:val="18"/>
              </w:rPr>
              <w:t>第6章第3節</w:t>
            </w:r>
          </w:p>
        </w:tc>
      </w:tr>
      <w:tr>
        <w:trPr>
          <w:cantSplit/>
        </w:trPr>
        <w:tc>
          <w:tcPr>
            <w:tcW w:type="dxa" w:w="2041"/>
            <w:vAlign w:val="center"/>
          </w:tcPr>
          <w:p>
            <w:pPr>
              <w:keepNext/>
              <w:spacing w:after="0"/>
            </w:pPr>
            <w:r>
              <w:rPr>
                <w:rFonts w:ascii="游ゴシック" w:hAnsi="游ゴシック" w:eastAsia="游ゴシック"/>
                <w:b/>
                <w:sz w:val="18"/>
              </w:rPr>
              <w:t>保険料</w:t>
            </w:r>
          </w:p>
        </w:tc>
        <w:tc>
          <w:tcPr>
            <w:tcW w:type="dxa" w:w="5329"/>
            <w:vAlign w:val="center"/>
          </w:tcPr>
          <w:p>
            <w:pPr>
              <w:keepNext/>
              <w:spacing w:after="0"/>
            </w:pPr>
            <w:r>
              <w:rPr>
                <w:rFonts w:ascii="游ゴシック" w:hAnsi="游ゴシック" w:eastAsia="游ゴシック"/>
                <w:b w:val="0"/>
                <w:sz w:val="18"/>
              </w:rPr>
              <w:t>算定上の月額基準額6,438円（記号A〜J）</w:t>
            </w:r>
          </w:p>
        </w:tc>
        <w:tc>
          <w:tcPr>
            <w:tcW w:type="dxa" w:w="2381"/>
            <w:vAlign w:val="center"/>
          </w:tcPr>
          <w:p>
            <w:pPr>
              <w:keepNext/>
              <w:spacing w:after="0"/>
            </w:pPr>
            <w:r>
              <w:rPr>
                <w:rFonts w:ascii="游ゴシック" w:hAnsi="游ゴシック" w:eastAsia="游ゴシック"/>
                <w:b w:val="0"/>
                <w:sz w:val="18"/>
              </w:rPr>
              <w:t>第6章第6節</w:t>
            </w:r>
          </w:p>
        </w:tc>
      </w:tr>
      <w:tr>
        <w:trPr>
          <w:cantSplit/>
        </w:trPr>
        <w:tc>
          <w:tcPr>
            <w:tcW w:type="dxa" w:w="2041"/>
            <w:shd w:val="clear" w:color="auto" w:fill="F2F5FA"/>
            <w:vAlign w:val="center"/>
          </w:tcPr>
          <w:p>
            <w:pPr>
              <w:spacing w:after="0"/>
            </w:pPr>
            <w:r>
              <w:rPr>
                <w:rFonts w:ascii="游ゴシック" w:hAnsi="游ゴシック" w:eastAsia="游ゴシック"/>
                <w:b/>
                <w:sz w:val="18"/>
              </w:rPr>
              <w:t>中長期の推計</w:t>
            </w:r>
          </w:p>
        </w:tc>
        <w:tc>
          <w:tcPr>
            <w:tcW w:type="dxa" w:w="5329"/>
            <w:shd w:val="clear" w:color="auto" w:fill="F2F5FA"/>
            <w:vAlign w:val="center"/>
          </w:tcPr>
          <w:p>
            <w:pPr>
              <w:spacing w:after="0"/>
            </w:pPr>
            <w:r>
              <w:rPr>
                <w:rFonts w:ascii="游ゴシック" w:hAnsi="游ゴシック" w:eastAsia="游ゴシック"/>
                <w:b w:val="0"/>
                <w:sz w:val="18"/>
              </w:rPr>
              <w:t>令和17年度／令和22年度の見込量・給付費・保険料</w:t>
            </w:r>
          </w:p>
        </w:tc>
        <w:tc>
          <w:tcPr>
            <w:tcW w:type="dxa" w:w="2381"/>
            <w:shd w:val="clear" w:color="auto" w:fill="F2F5FA"/>
            <w:vAlign w:val="center"/>
          </w:tcPr>
          <w:p>
            <w:pPr>
              <w:spacing w:after="0"/>
            </w:pPr>
            <w:r>
              <w:rPr>
                <w:rFonts w:ascii="游ゴシック" w:hAnsi="游ゴシック" w:eastAsia="游ゴシック"/>
                <w:b w:val="0"/>
                <w:sz w:val="18"/>
              </w:rPr>
              <w:t>第6章第1節・第3節</w:t>
            </w:r>
          </w:p>
        </w:tc>
      </w:tr>
    </w:tbl>
    <w:p>
      <w:pPr>
        <w:keepNext/>
        <w:spacing w:before="180" w:after="60"/>
      </w:pPr>
      <w:r>
        <w:rPr>
          <w:rFonts w:ascii="游ゴシック" w:hAnsi="游ゴシック" w:eastAsia="游ゴシック"/>
          <w:b/>
          <w:sz w:val="22"/>
        </w:rPr>
        <w:t>2　ご決定をお待ちしているもの</w:t>
      </w:r>
    </w:p>
    <w:p>
      <w:pPr>
        <w:keepNext/>
        <w:spacing w:before="160" w:after="40"/>
      </w:pPr>
      <w:r>
        <w:rPr>
          <w:rFonts w:ascii="游ゴシック" w:hAnsi="游ゴシック" w:eastAsia="游ゴシック"/>
          <w:b/>
          <w:sz w:val="20"/>
        </w:rPr>
        <w:t>表3　確認事項の件数</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835"/>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134"/>
            <w:shd w:val="clear" w:color="auto" w:fill="1F3864"/>
            <w:vAlign w:val="center"/>
          </w:tcPr>
          <w:p>
            <w:pPr>
              <w:keepNext/>
              <w:spacing w:after="0"/>
              <w:jc w:val="center"/>
            </w:pPr>
            <w:r>
              <w:rPr>
                <w:rFonts w:ascii="游ゴシック" w:hAnsi="游ゴシック" w:eastAsia="游ゴシック"/>
                <w:b/>
                <w:color w:val="FFFFFF"/>
                <w:sz w:val="18"/>
              </w:rPr>
              <w:t>件数</w:t>
            </w:r>
          </w:p>
        </w:tc>
        <w:tc>
          <w:tcPr>
            <w:tcW w:type="dxa" w:w="5783"/>
            <w:shd w:val="clear" w:color="auto" w:fill="1F3864"/>
            <w:vAlign w:val="center"/>
          </w:tcPr>
          <w:p>
            <w:pPr>
              <w:keepNext/>
              <w:spacing w:after="0"/>
              <w:jc w:val="center"/>
            </w:pPr>
            <w:r>
              <w:rPr>
                <w:rFonts w:ascii="游ゴシック" w:hAnsi="游ゴシック" w:eastAsia="游ゴシック"/>
                <w:b/>
                <w:color w:val="FFFFFF"/>
                <w:sz w:val="18"/>
              </w:rPr>
              <w:t>内容</w:t>
            </w:r>
          </w:p>
        </w:tc>
      </w:tr>
      <w:tr>
        <w:trPr>
          <w:cantSplit/>
        </w:trPr>
        <w:tc>
          <w:tcPr>
            <w:tcW w:type="dxa" w:w="2835"/>
            <w:vAlign w:val="center"/>
          </w:tcPr>
          <w:p>
            <w:pPr>
              <w:keepNext/>
              <w:spacing w:after="0"/>
            </w:pPr>
            <w:r>
              <w:rPr>
                <w:rFonts w:ascii="游ゴシック" w:hAnsi="游ゴシック" w:eastAsia="游ゴシック"/>
                <w:b/>
                <w:sz w:val="18"/>
              </w:rPr>
              <w:t>確認事項（全体）</w:t>
            </w:r>
          </w:p>
        </w:tc>
        <w:tc>
          <w:tcPr>
            <w:tcW w:type="dxa" w:w="1134"/>
            <w:vAlign w:val="center"/>
          </w:tcPr>
          <w:p>
            <w:pPr>
              <w:keepNext/>
              <w:spacing w:after="0"/>
              <w:jc w:val="center"/>
            </w:pPr>
            <w:r>
              <w:rPr>
                <w:rFonts w:ascii="游ゴシック" w:hAnsi="游ゴシック" w:eastAsia="游ゴシック"/>
                <w:b/>
                <w:sz w:val="18"/>
              </w:rPr>
              <w:t>173件</w:t>
            </w:r>
          </w:p>
        </w:tc>
        <w:tc>
          <w:tcPr>
            <w:tcW w:type="dxa" w:w="5783"/>
            <w:vAlign w:val="center"/>
          </w:tcPr>
          <w:p>
            <w:pPr>
              <w:keepNext/>
              <w:spacing w:after="0"/>
            </w:pPr>
            <w:r>
              <w:rPr>
                <w:rFonts w:ascii="游ゴシック" w:hAnsi="游ゴシック" w:eastAsia="游ゴシック"/>
                <w:b w:val="0"/>
                <w:sz w:val="18"/>
              </w:rPr>
              <w:t>業務工程管理表 03_確認事項一覧の番号です（欠番・重複はありません）</w:t>
            </w:r>
          </w:p>
        </w:tc>
      </w:tr>
      <w:tr>
        <w:trPr>
          <w:cantSplit/>
        </w:trPr>
        <w:tc>
          <w:tcPr>
            <w:tcW w:type="dxa" w:w="2835"/>
            <w:shd w:val="clear" w:color="auto" w:fill="F2F5FA"/>
            <w:vAlign w:val="center"/>
          </w:tcPr>
          <w:p>
            <w:pPr>
              <w:keepNext/>
              <w:spacing w:after="0"/>
            </w:pPr>
            <w:r>
              <w:rPr>
                <w:rFonts w:ascii="游ゴシック" w:hAnsi="游ゴシック" w:eastAsia="游ゴシック"/>
                <w:b/>
                <w:sz w:val="18"/>
              </w:rPr>
              <w:t>うち決着していないもの</w:t>
            </w:r>
          </w:p>
        </w:tc>
        <w:tc>
          <w:tcPr>
            <w:tcW w:type="dxa" w:w="1134"/>
            <w:shd w:val="clear" w:color="auto" w:fill="F2F5FA"/>
            <w:vAlign w:val="center"/>
          </w:tcPr>
          <w:p>
            <w:pPr>
              <w:keepNext/>
              <w:spacing w:after="0"/>
              <w:jc w:val="center"/>
            </w:pPr>
            <w:r>
              <w:rPr>
                <w:rFonts w:ascii="游ゴシック" w:hAnsi="游ゴシック" w:eastAsia="游ゴシック"/>
                <w:b/>
                <w:sz w:val="18"/>
              </w:rPr>
              <w:t>160件</w:t>
            </w:r>
          </w:p>
        </w:tc>
        <w:tc>
          <w:tcPr>
            <w:tcW w:type="dxa" w:w="5783"/>
            <w:shd w:val="clear" w:color="auto" w:fill="F2F5FA"/>
            <w:vAlign w:val="center"/>
          </w:tcPr>
          <w:p>
            <w:pPr>
              <w:keepNext/>
              <w:spacing w:after="0"/>
            </w:pPr>
            <w:r>
              <w:rPr>
                <w:rFonts w:ascii="游ゴシック" w:hAnsi="游ゴシック" w:eastAsia="游ゴシック"/>
                <w:b w:val="0"/>
                <w:sz w:val="18"/>
              </w:rPr>
              <w:t>―</w:t>
            </w:r>
          </w:p>
        </w:tc>
      </w:tr>
      <w:tr>
        <w:trPr>
          <w:cantSplit/>
        </w:trPr>
        <w:tc>
          <w:tcPr>
            <w:tcW w:type="dxa" w:w="2835"/>
            <w:vAlign w:val="center"/>
          </w:tcPr>
          <w:p>
            <w:pPr>
              <w:keepNext/>
              <w:spacing w:after="0"/>
            </w:pPr>
            <w:r>
              <w:rPr>
                <w:rFonts w:ascii="游ゴシック" w:hAnsi="游ゴシック" w:eastAsia="游ゴシック"/>
                <w:b/>
                <w:sz w:val="18"/>
              </w:rPr>
              <w:t>うち構成3町に関わるもの</w:t>
            </w:r>
          </w:p>
        </w:tc>
        <w:tc>
          <w:tcPr>
            <w:tcW w:type="dxa" w:w="1134"/>
            <w:vAlign w:val="center"/>
          </w:tcPr>
          <w:p>
            <w:pPr>
              <w:keepNext/>
              <w:spacing w:after="0"/>
              <w:jc w:val="center"/>
            </w:pPr>
            <w:r>
              <w:rPr>
                <w:rFonts w:ascii="游ゴシック" w:hAnsi="游ゴシック" w:eastAsia="游ゴシック"/>
                <w:b/>
                <w:sz w:val="18"/>
              </w:rPr>
              <w:t>36件</w:t>
            </w:r>
          </w:p>
        </w:tc>
        <w:tc>
          <w:tcPr>
            <w:tcW w:type="dxa" w:w="5783"/>
            <w:vAlign w:val="center"/>
          </w:tcPr>
          <w:p>
            <w:pPr>
              <w:keepNext/>
              <w:spacing w:after="0"/>
            </w:pPr>
            <w:r>
              <w:rPr>
                <w:rFonts w:ascii="游ゴシック" w:hAnsi="游ゴシック" w:eastAsia="游ゴシック"/>
                <w:b w:val="0"/>
                <w:sz w:val="18"/>
              </w:rPr>
              <w:t>確認先に町を含むものです</w:t>
            </w:r>
          </w:p>
        </w:tc>
      </w:tr>
      <w:tr>
        <w:trPr>
          <w:cantSplit/>
        </w:trPr>
        <w:tc>
          <w:tcPr>
            <w:tcW w:type="dxa" w:w="2835"/>
            <w:shd w:val="clear" w:color="auto" w:fill="F2F5FA"/>
            <w:vAlign w:val="center"/>
          </w:tcPr>
          <w:p>
            <w:pPr>
              <w:keepNext/>
              <w:spacing w:after="0"/>
            </w:pPr>
            <w:r>
              <w:rPr>
                <w:rFonts w:ascii="游ゴシック" w:hAnsi="游ゴシック" w:eastAsia="游ゴシック"/>
                <w:b/>
                <w:sz w:val="18"/>
              </w:rPr>
              <w:t xml:space="preserve">　3町共通（本意見交換会）</w:t>
            </w:r>
          </w:p>
        </w:tc>
        <w:tc>
          <w:tcPr>
            <w:tcW w:type="dxa" w:w="1134"/>
            <w:shd w:val="clear" w:color="auto" w:fill="F2F5FA"/>
            <w:vAlign w:val="center"/>
          </w:tcPr>
          <w:p>
            <w:pPr>
              <w:keepNext/>
              <w:spacing w:after="0"/>
              <w:jc w:val="center"/>
            </w:pPr>
            <w:r>
              <w:rPr>
                <w:rFonts w:ascii="游ゴシック" w:hAnsi="游ゴシック" w:eastAsia="游ゴシック"/>
                <w:b/>
                <w:sz w:val="18"/>
              </w:rPr>
              <w:t>25件</w:t>
            </w:r>
          </w:p>
        </w:tc>
        <w:tc>
          <w:tcPr>
            <w:tcW w:type="dxa" w:w="5783"/>
            <w:shd w:val="clear" w:color="auto" w:fill="F2F5FA"/>
            <w:vAlign w:val="center"/>
          </w:tcPr>
          <w:p>
            <w:pPr>
              <w:keepNext/>
              <w:spacing w:after="0"/>
            </w:pPr>
            <w:r>
              <w:rPr>
                <w:rFonts w:ascii="游ゴシック" w:hAnsi="游ゴシック" w:eastAsia="游ゴシック"/>
                <w:b w:val="0"/>
                <w:sz w:val="18"/>
              </w:rPr>
              <w:t>広域連合として決めていただく事項です（第6節）</w:t>
            </w:r>
          </w:p>
        </w:tc>
      </w:tr>
      <w:tr>
        <w:trPr>
          <w:cantSplit/>
        </w:trPr>
        <w:tc>
          <w:tcPr>
            <w:tcW w:type="dxa" w:w="2835"/>
            <w:vAlign w:val="center"/>
          </w:tcPr>
          <w:p>
            <w:pPr>
              <w:spacing w:after="0"/>
            </w:pPr>
            <w:r>
              <w:rPr>
                <w:rFonts w:ascii="游ゴシック" w:hAnsi="游ゴシック" w:eastAsia="游ゴシック"/>
                <w:b/>
                <w:sz w:val="18"/>
              </w:rPr>
              <w:t xml:space="preserve">　町ごと（個別協議）</w:t>
            </w:r>
          </w:p>
        </w:tc>
        <w:tc>
          <w:tcPr>
            <w:tcW w:type="dxa" w:w="1134"/>
            <w:vAlign w:val="center"/>
          </w:tcPr>
          <w:p>
            <w:pPr>
              <w:spacing w:after="0"/>
              <w:jc w:val="center"/>
            </w:pPr>
            <w:r>
              <w:rPr>
                <w:rFonts w:ascii="游ゴシック" w:hAnsi="游ゴシック" w:eastAsia="游ゴシック"/>
                <w:b/>
                <w:sz w:val="18"/>
              </w:rPr>
              <w:t>11件</w:t>
            </w:r>
          </w:p>
        </w:tc>
        <w:tc>
          <w:tcPr>
            <w:tcW w:type="dxa" w:w="5783"/>
            <w:vAlign w:val="center"/>
          </w:tcPr>
          <w:p>
            <w:pPr>
              <w:spacing w:after="0"/>
            </w:pPr>
            <w:r>
              <w:rPr>
                <w:rFonts w:ascii="游ゴシック" w:hAnsi="游ゴシック" w:eastAsia="游ゴシック"/>
                <w:b w:val="0"/>
                <w:sz w:val="18"/>
              </w:rPr>
              <w:t>東川町4件／美瑛町5件／東神楽町2件（第8節）</w:t>
            </w:r>
          </w:p>
        </w:tc>
      </w:tr>
    </w:tbl>
    <w:p>
      <w:pPr>
        <w:keepNext/>
        <w:spacing w:before="180" w:after="60"/>
      </w:pPr>
      <w:r>
        <w:rPr>
          <w:rFonts w:ascii="游ゴシック" w:hAnsi="游ゴシック" w:eastAsia="游ゴシック"/>
          <w:b/>
          <w:sz w:val="22"/>
        </w:rPr>
        <w:t>3　決定がない場合の進め方</w:t>
      </w:r>
    </w:p>
    <w:p>
      <w:pPr>
        <w:spacing w:after="80"/>
      </w:pPr>
      <w:r>
        <w:rPr>
          <w:rFonts w:ascii="游ゴシック" w:hAnsi="游ゴシック" w:eastAsia="游ゴシック"/>
          <w:b w:val="0"/>
          <w:sz w:val="20"/>
        </w:rPr>
        <w:t>算定の前提のうち、資料の追加のご提供や決定を待っているものを23件整理しています。出どころにより扱いが分かれます。</w:t>
      </w:r>
    </w:p>
    <w:p>
      <w:pPr>
        <w:keepNext/>
        <w:spacing w:before="160" w:after="40"/>
      </w:pPr>
      <w:r>
        <w:rPr>
          <w:rFonts w:ascii="游ゴシック" w:hAnsi="游ゴシック" w:eastAsia="游ゴシック"/>
          <w:b/>
          <w:sz w:val="20"/>
        </w:rPr>
        <w:t>表4　算定の前提の扱い</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3515"/>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020"/>
            <w:shd w:val="clear" w:color="auto" w:fill="1F3864"/>
            <w:vAlign w:val="center"/>
          </w:tcPr>
          <w:p>
            <w:pPr>
              <w:keepNext/>
              <w:spacing w:after="0"/>
              <w:jc w:val="center"/>
            </w:pPr>
            <w:r>
              <w:rPr>
                <w:rFonts w:ascii="游ゴシック" w:hAnsi="游ゴシック" w:eastAsia="游ゴシック"/>
                <w:b/>
                <w:color w:val="FFFFFF"/>
                <w:sz w:val="18"/>
              </w:rPr>
              <w:t>件数</w:t>
            </w:r>
          </w:p>
        </w:tc>
        <w:tc>
          <w:tcPr>
            <w:tcW w:type="dxa" w:w="5216"/>
            <w:shd w:val="clear" w:color="auto" w:fill="1F3864"/>
            <w:vAlign w:val="center"/>
          </w:tcPr>
          <w:p>
            <w:pPr>
              <w:keepNext/>
              <w:spacing w:after="0"/>
              <w:jc w:val="center"/>
            </w:pPr>
            <w:r>
              <w:rPr>
                <w:rFonts w:ascii="游ゴシック" w:hAnsi="游ゴシック" w:eastAsia="游ゴシック"/>
                <w:b/>
                <w:color w:val="FFFFFF"/>
                <w:sz w:val="18"/>
              </w:rPr>
              <w:t>扱い</w:t>
            </w:r>
          </w:p>
        </w:tc>
      </w:tr>
      <w:tr>
        <w:trPr>
          <w:cantSplit/>
        </w:trPr>
        <w:tc>
          <w:tcPr>
            <w:tcW w:type="dxa" w:w="3515"/>
            <w:vAlign w:val="center"/>
          </w:tcPr>
          <w:p>
            <w:pPr>
              <w:keepNext/>
              <w:spacing w:after="0"/>
            </w:pPr>
            <w:r>
              <w:rPr>
                <w:rFonts w:ascii="游ゴシック" w:hAnsi="游ゴシック" w:eastAsia="游ゴシック"/>
                <w:b/>
                <w:sz w:val="18"/>
              </w:rPr>
              <w:t>受託者の側で確定したもの</w:t>
            </w:r>
          </w:p>
        </w:tc>
        <w:tc>
          <w:tcPr>
            <w:tcW w:type="dxa" w:w="1020"/>
            <w:vAlign w:val="center"/>
          </w:tcPr>
          <w:p>
            <w:pPr>
              <w:keepNext/>
              <w:spacing w:after="0"/>
              <w:jc w:val="center"/>
            </w:pPr>
            <w:r>
              <w:rPr>
                <w:rFonts w:ascii="游ゴシック" w:hAnsi="游ゴシック" w:eastAsia="游ゴシック"/>
                <w:b/>
                <w:sz w:val="18"/>
              </w:rPr>
              <w:t>4件</w:t>
            </w:r>
          </w:p>
        </w:tc>
        <w:tc>
          <w:tcPr>
            <w:tcW w:type="dxa" w:w="5216"/>
            <w:vAlign w:val="center"/>
          </w:tcPr>
          <w:p>
            <w:pPr>
              <w:keepNext/>
              <w:spacing w:after="0"/>
            </w:pPr>
            <w:r>
              <w:rPr>
                <w:rFonts w:ascii="游ゴシック" w:hAnsi="游ゴシック" w:eastAsia="游ゴシック"/>
                <w:b w:val="0"/>
                <w:sz w:val="18"/>
              </w:rPr>
              <w:t>資料の受領を待たずに確定しました（第3節の算定に反映しています）</w:t>
            </w:r>
          </w:p>
        </w:tc>
      </w:tr>
      <w:tr>
        <w:trPr>
          <w:cantSplit/>
        </w:trPr>
        <w:tc>
          <w:tcPr>
            <w:tcW w:type="dxa" w:w="3515"/>
            <w:shd w:val="clear" w:color="auto" w:fill="F2F5FA"/>
            <w:vAlign w:val="center"/>
          </w:tcPr>
          <w:p>
            <w:pPr>
              <w:keepNext/>
              <w:spacing w:after="0"/>
            </w:pPr>
            <w:r>
              <w:rPr>
                <w:rFonts w:ascii="游ゴシック" w:hAnsi="游ゴシック" w:eastAsia="游ゴシック"/>
                <w:b/>
                <w:sz w:val="18"/>
              </w:rPr>
              <w:t>受託者の側で確定できるもの</w:t>
            </w:r>
          </w:p>
        </w:tc>
        <w:tc>
          <w:tcPr>
            <w:tcW w:type="dxa" w:w="1020"/>
            <w:shd w:val="clear" w:color="auto" w:fill="F2F5FA"/>
            <w:vAlign w:val="center"/>
          </w:tcPr>
          <w:p>
            <w:pPr>
              <w:keepNext/>
              <w:spacing w:after="0"/>
              <w:jc w:val="center"/>
            </w:pPr>
            <w:r>
              <w:rPr>
                <w:rFonts w:ascii="游ゴシック" w:hAnsi="游ゴシック" w:eastAsia="游ゴシック"/>
                <w:b/>
                <w:sz w:val="18"/>
              </w:rPr>
              <w:t>0件</w:t>
            </w:r>
          </w:p>
        </w:tc>
        <w:tc>
          <w:tcPr>
            <w:tcW w:type="dxa" w:w="5216"/>
            <w:shd w:val="clear" w:color="auto" w:fill="F2F5FA"/>
            <w:vAlign w:val="center"/>
          </w:tcPr>
          <w:p>
            <w:pPr>
              <w:keepNext/>
              <w:spacing w:after="0"/>
            </w:pPr>
            <w:r>
              <w:rPr>
                <w:rFonts w:ascii="游ゴシック" w:hAnsi="游ゴシック" w:eastAsia="游ゴシック"/>
                <w:b w:val="0"/>
                <w:sz w:val="18"/>
              </w:rPr>
              <w:t>残っていません</w:t>
            </w:r>
          </w:p>
        </w:tc>
      </w:tr>
      <w:tr>
        <w:trPr>
          <w:cantSplit/>
        </w:trPr>
        <w:tc>
          <w:tcPr>
            <w:tcW w:type="dxa" w:w="3515"/>
            <w:vAlign w:val="center"/>
          </w:tcPr>
          <w:p>
            <w:pPr>
              <w:keepNext/>
              <w:spacing w:after="0"/>
            </w:pPr>
            <w:r>
              <w:rPr>
                <w:rFonts w:ascii="游ゴシック" w:hAnsi="游ゴシック" w:eastAsia="游ゴシック"/>
                <w:b/>
                <w:sz w:val="18"/>
              </w:rPr>
              <w:t>発注者・構成3町の資料をお願いしているもの</w:t>
            </w:r>
          </w:p>
        </w:tc>
        <w:tc>
          <w:tcPr>
            <w:tcW w:type="dxa" w:w="1020"/>
            <w:vAlign w:val="center"/>
          </w:tcPr>
          <w:p>
            <w:pPr>
              <w:keepNext/>
              <w:spacing w:after="0"/>
              <w:jc w:val="center"/>
            </w:pPr>
            <w:r>
              <w:rPr>
                <w:rFonts w:ascii="游ゴシック" w:hAnsi="游ゴシック" w:eastAsia="游ゴシック"/>
                <w:b/>
                <w:sz w:val="18"/>
              </w:rPr>
              <w:t>15件</w:t>
            </w:r>
          </w:p>
        </w:tc>
        <w:tc>
          <w:tcPr>
            <w:tcW w:type="dxa" w:w="5216"/>
            <w:vAlign w:val="center"/>
          </w:tcPr>
          <w:p>
            <w:pPr>
              <w:keepNext/>
              <w:spacing w:after="0"/>
            </w:pPr>
            <w:r>
              <w:rPr>
                <w:rFonts w:ascii="游ゴシック" w:hAnsi="游ゴシック" w:eastAsia="游ゴシック"/>
                <w:b w:val="0"/>
                <w:sz w:val="18"/>
              </w:rPr>
              <w:t>届かない場合は現に確認できている値のまま確定します。算定は止まりません</w:t>
            </w:r>
          </w:p>
        </w:tc>
      </w:tr>
      <w:tr>
        <w:trPr>
          <w:cantSplit/>
        </w:trPr>
        <w:tc>
          <w:tcPr>
            <w:tcW w:type="dxa" w:w="3515"/>
            <w:shd w:val="clear" w:color="auto" w:fill="F2F5FA"/>
            <w:vAlign w:val="center"/>
          </w:tcPr>
          <w:p>
            <w:pPr>
              <w:spacing w:after="0"/>
            </w:pPr>
            <w:r>
              <w:rPr>
                <w:rFonts w:ascii="游ゴシック" w:hAnsi="游ゴシック" w:eastAsia="游ゴシック"/>
                <w:b/>
                <w:sz w:val="18"/>
              </w:rPr>
              <w:t>国の告示・公布を待つもの</w:t>
            </w:r>
          </w:p>
        </w:tc>
        <w:tc>
          <w:tcPr>
            <w:tcW w:type="dxa" w:w="1020"/>
            <w:shd w:val="clear" w:color="auto" w:fill="F2F5FA"/>
            <w:vAlign w:val="center"/>
          </w:tcPr>
          <w:p>
            <w:pPr>
              <w:spacing w:after="0"/>
              <w:jc w:val="center"/>
            </w:pPr>
            <w:r>
              <w:rPr>
                <w:rFonts w:ascii="游ゴシック" w:hAnsi="游ゴシック" w:eastAsia="游ゴシック"/>
                <w:b/>
                <w:sz w:val="18"/>
              </w:rPr>
              <w:t>4件</w:t>
            </w:r>
          </w:p>
        </w:tc>
        <w:tc>
          <w:tcPr>
            <w:tcW w:type="dxa" w:w="5216"/>
            <w:shd w:val="clear" w:color="auto" w:fill="F2F5FA"/>
            <w:vAlign w:val="center"/>
          </w:tcPr>
          <w:p>
            <w:pPr>
              <w:spacing w:after="0"/>
            </w:pPr>
            <w:r>
              <w:rPr>
                <w:rFonts w:ascii="游ゴシック" w:hAnsi="游ゴシック" w:eastAsia="游ゴシック"/>
                <w:b w:val="0"/>
                <w:sz w:val="18"/>
              </w:rPr>
              <w:t>告示・公布が出た時点で必ず置き換えます。報酬改定率、第1号被保険者負担割合、所得段階の政令改正です</w:t>
            </w:r>
          </w:p>
        </w:tc>
      </w:tr>
    </w:tbl>
    <w:p>
      <w:pPr>
        <w:spacing w:after="80"/>
      </w:pPr>
      <w:r>
        <w:rPr>
          <w:rFonts w:ascii="游ゴシック" w:hAnsi="游ゴシック" w:eastAsia="游ゴシック"/>
          <w:b w:val="0"/>
          <w:sz w:val="20"/>
        </w:rPr>
        <w:t>したがって、</w:t>
      </w:r>
      <w:r>
        <w:rPr>
          <w:rFonts w:ascii="游ゴシック" w:hAnsi="游ゴシック" w:eastAsia="游ゴシック"/>
          <w:b/>
          <w:sz w:val="20"/>
        </w:rPr>
        <w:t>発注者及び構成3町から追加の資料のご提供を受けられない場合でも、国の告示が出れば計画は確定します。</w:t>
      </w:r>
      <w:r>
        <w:rPr>
          <w:rFonts w:ascii="游ゴシック" w:hAnsi="游ゴシック" w:eastAsia="游ゴシック"/>
          <w:b w:val="0"/>
          <w:sz w:val="20"/>
        </w:rPr>
        <w:t xml:space="preserve"> 一方で、国の告示によるものは催促のできないものであり、いずれも保険料を引き上げる向きに働きます（第4節）。</w:t>
      </w:r>
    </w:p>
    <w:p>
      <w:pPr>
        <w:keepNext/>
        <w:spacing w:before="160" w:after="40"/>
      </w:pPr>
      <w:r>
        <w:rPr>
          <w:rFonts w:ascii="游ゴシック" w:hAnsi="游ゴシック" w:eastAsia="游ゴシック"/>
          <w:b/>
          <w:sz w:val="20"/>
        </w:rPr>
        <w:t>表5　受託者の側で確定した算定の前提</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701"/>
            <w:shd w:val="clear" w:color="auto" w:fill="1F3864"/>
            <w:vAlign w:val="center"/>
          </w:tcPr>
          <w:p>
            <w:pPr>
              <w:keepNext/>
              <w:spacing w:after="0"/>
              <w:jc w:val="center"/>
            </w:pPr>
            <w:r>
              <w:rPr>
                <w:rFonts w:ascii="游ゴシック" w:hAnsi="游ゴシック" w:eastAsia="游ゴシック"/>
                <w:b/>
                <w:color w:val="FFFFFF"/>
                <w:sz w:val="18"/>
              </w:rPr>
              <w:t>事項</w:t>
            </w:r>
          </w:p>
        </w:tc>
        <w:tc>
          <w:tcPr>
            <w:tcW w:type="dxa" w:w="5669"/>
            <w:shd w:val="clear" w:color="auto" w:fill="1F3864"/>
            <w:vAlign w:val="center"/>
          </w:tcPr>
          <w:p>
            <w:pPr>
              <w:keepNext/>
              <w:spacing w:after="0"/>
              <w:jc w:val="center"/>
            </w:pPr>
            <w:r>
              <w:rPr>
                <w:rFonts w:ascii="游ゴシック" w:hAnsi="游ゴシック" w:eastAsia="游ゴシック"/>
                <w:b/>
                <w:color w:val="FFFFFF"/>
                <w:sz w:val="18"/>
              </w:rPr>
              <w:t>確定した内容</w:t>
            </w:r>
          </w:p>
        </w:tc>
        <w:tc>
          <w:tcPr>
            <w:tcW w:type="dxa" w:w="2381"/>
            <w:shd w:val="clear" w:color="auto" w:fill="1F3864"/>
            <w:vAlign w:val="center"/>
          </w:tcPr>
          <w:p>
            <w:pPr>
              <w:keepNext/>
              <w:spacing w:after="0"/>
              <w:jc w:val="center"/>
            </w:pPr>
            <w:r>
              <w:rPr>
                <w:rFonts w:ascii="游ゴシック" w:hAnsi="游ゴシック" w:eastAsia="游ゴシック"/>
                <w:b/>
                <w:color w:val="FFFFFF"/>
                <w:sz w:val="18"/>
              </w:rPr>
              <w:t>保険料への効き</w:t>
            </w:r>
          </w:p>
        </w:tc>
      </w:tr>
      <w:tr>
        <w:trPr>
          <w:cantSplit/>
        </w:trPr>
        <w:tc>
          <w:tcPr>
            <w:tcW w:type="dxa" w:w="1701"/>
            <w:vAlign w:val="center"/>
          </w:tcPr>
          <w:p>
            <w:pPr>
              <w:keepNext/>
              <w:spacing w:after="0"/>
            </w:pPr>
            <w:r>
              <w:rPr>
                <w:rFonts w:ascii="游ゴシック" w:hAnsi="游ゴシック" w:eastAsia="游ゴシック"/>
                <w:b/>
                <w:sz w:val="18"/>
              </w:rPr>
              <w:t>要介護度別の単価</w:t>
            </w:r>
          </w:p>
        </w:tc>
        <w:tc>
          <w:tcPr>
            <w:tcW w:type="dxa" w:w="5669"/>
            <w:vAlign w:val="center"/>
          </w:tcPr>
          <w:p>
            <w:pPr>
              <w:keepNext/>
              <w:spacing w:after="0"/>
            </w:pPr>
            <w:r>
              <w:rPr>
                <w:rFonts w:ascii="游ゴシック" w:hAnsi="游ゴシック" w:eastAsia="游ゴシック"/>
                <w:b w:val="0"/>
                <w:sz w:val="18"/>
              </w:rPr>
              <w:t>要介護度間の比を給付費データ（保険者単位）から採り、水準は総括表に合わせて比例調整している。基準年度では総括表の給付費を円単位で再現する</w:t>
            </w:r>
          </w:p>
        </w:tc>
        <w:tc>
          <w:tcPr>
            <w:tcW w:type="dxa" w:w="2381"/>
            <w:vAlign w:val="center"/>
          </w:tcPr>
          <w:p>
            <w:pPr>
              <w:keepNext/>
              <w:spacing w:after="0"/>
            </w:pPr>
            <w:r>
              <w:rPr>
                <w:rFonts w:ascii="游ゴシック" w:hAnsi="游ゴシック" w:eastAsia="游ゴシック"/>
                <w:b w:val="0"/>
                <w:sz w:val="18"/>
              </w:rPr>
              <w:t>採用により総給付費（3か年）＋3,213,698円・月額＋2.17円。保険料基準額は6,400円で変わらない</w:t>
            </w:r>
          </w:p>
        </w:tc>
      </w:tr>
      <w:tr>
        <w:trPr>
          <w:cantSplit/>
        </w:trPr>
        <w:tc>
          <w:tcPr>
            <w:tcW w:type="dxa" w:w="1701"/>
            <w:shd w:val="clear" w:color="auto" w:fill="F2F5FA"/>
            <w:vAlign w:val="center"/>
          </w:tcPr>
          <w:p>
            <w:pPr>
              <w:keepNext/>
              <w:spacing w:after="0"/>
            </w:pPr>
            <w:r>
              <w:rPr>
                <w:rFonts w:ascii="游ゴシック" w:hAnsi="游ゴシック" w:eastAsia="游ゴシック"/>
                <w:b/>
                <w:sz w:val="18"/>
              </w:rPr>
              <w:t>1人1月あたり利用回（日）数</w:t>
            </w:r>
          </w:p>
        </w:tc>
        <w:tc>
          <w:tcPr>
            <w:tcW w:type="dxa" w:w="5669"/>
            <w:shd w:val="clear" w:color="auto" w:fill="F2F5FA"/>
            <w:vAlign w:val="center"/>
          </w:tcPr>
          <w:p>
            <w:pPr>
              <w:keepNext/>
              <w:spacing w:after="0"/>
            </w:pPr>
            <w:r>
              <w:rPr>
                <w:rFonts w:ascii="游ゴシック" w:hAnsi="游ゴシック" w:eastAsia="游ゴシック"/>
                <w:b w:val="0"/>
                <w:sz w:val="18"/>
              </w:rPr>
              <w:t>従前は要支援・要介護の群でまとめた1人1月あたりで置いていた</w:t>
            </w:r>
          </w:p>
        </w:tc>
        <w:tc>
          <w:tcPr>
            <w:tcW w:type="dxa" w:w="2381"/>
            <w:shd w:val="clear" w:color="auto" w:fill="F2F5FA"/>
            <w:vAlign w:val="center"/>
          </w:tcPr>
          <w:p>
            <w:pPr>
              <w:keepNext/>
              <w:spacing w:after="0"/>
            </w:pPr>
            <w:r>
              <w:rPr>
                <w:rFonts w:ascii="游ゴシック" w:hAnsi="游ゴシック" w:eastAsia="游ゴシック"/>
                <w:b w:val="0"/>
                <w:sz w:val="18"/>
              </w:rPr>
              <w:t>給付費には入らないため月額への効きはない。延べの回（日）数が最大＋0.09％（訪問介護）動く</w:t>
            </w:r>
          </w:p>
        </w:tc>
      </w:tr>
      <w:tr>
        <w:trPr>
          <w:cantSplit/>
        </w:trPr>
        <w:tc>
          <w:tcPr>
            <w:tcW w:type="dxa" w:w="1701"/>
            <w:vAlign w:val="center"/>
          </w:tcPr>
          <w:p>
            <w:pPr>
              <w:keepNext/>
              <w:spacing w:after="0"/>
            </w:pPr>
            <w:r>
              <w:rPr>
                <w:rFonts w:ascii="游ゴシック" w:hAnsi="游ゴシック" w:eastAsia="游ゴシック"/>
                <w:b/>
                <w:sz w:val="18"/>
              </w:rPr>
              <w:t>要介護度の構成</w:t>
            </w:r>
          </w:p>
        </w:tc>
        <w:tc>
          <w:tcPr>
            <w:tcW w:type="dxa" w:w="5669"/>
            <w:vAlign w:val="center"/>
          </w:tcPr>
          <w:p>
            <w:pPr>
              <w:keepNext/>
              <w:spacing w:after="0"/>
            </w:pPr>
            <w:r>
              <w:rPr>
                <w:rFonts w:ascii="游ゴシック" w:hAnsi="游ゴシック" w:eastAsia="游ゴシック"/>
                <w:b w:val="0"/>
                <w:sz w:val="18"/>
              </w:rPr>
              <w:t>年齢階級ごとの要介護度の構成を令和7年度末（年報 様式1の5）の実績で固定し、将来推計 第1段階の年齢階級別認定者数に乗じる。年齢構成の変化による重度化は反映され、要介護度別の和は第1段階の認定者数と完全に一致する</w:t>
            </w:r>
          </w:p>
        </w:tc>
        <w:tc>
          <w:tcPr>
            <w:tcW w:type="dxa" w:w="2381"/>
            <w:vAlign w:val="center"/>
          </w:tcPr>
          <w:p>
            <w:pPr>
              <w:keepNext/>
              <w:spacing w:after="0"/>
            </w:pPr>
            <w:r>
              <w:rPr>
                <w:rFonts w:ascii="游ゴシック" w:hAnsi="游ゴシック" w:eastAsia="游ゴシック"/>
                <w:b w:val="0"/>
                <w:sz w:val="18"/>
              </w:rPr>
              <w:t>一律の伸びとの差は月額＋10円</w:t>
            </w:r>
          </w:p>
        </w:tc>
      </w:tr>
      <w:tr>
        <w:trPr>
          <w:cantSplit/>
        </w:trPr>
        <w:tc>
          <w:tcPr>
            <w:tcW w:type="dxa" w:w="1701"/>
            <w:shd w:val="clear" w:color="auto" w:fill="F2F5FA"/>
            <w:vAlign w:val="center"/>
          </w:tcPr>
          <w:p>
            <w:pPr>
              <w:spacing w:after="0"/>
            </w:pPr>
            <w:r>
              <w:rPr>
                <w:rFonts w:ascii="游ゴシック" w:hAnsi="游ゴシック" w:eastAsia="游ゴシック"/>
                <w:b/>
                <w:sz w:val="18"/>
              </w:rPr>
              <w:t>季節補正</w:t>
            </w:r>
          </w:p>
        </w:tc>
        <w:tc>
          <w:tcPr>
            <w:tcW w:type="dxa" w:w="5669"/>
            <w:shd w:val="clear" w:color="auto" w:fill="F2F5FA"/>
            <w:vAlign w:val="center"/>
          </w:tcPr>
          <w:p>
            <w:pPr>
              <w:spacing w:after="0"/>
            </w:pPr>
            <w:r>
              <w:rPr>
                <w:rFonts w:ascii="游ゴシック" w:hAnsi="游ゴシック" w:eastAsia="游ゴシック"/>
                <w:b w:val="0"/>
                <w:sz w:val="18"/>
              </w:rPr>
              <w:t>季節補正を行わない。基準年度が12か月の完結年度であるため季節指数の和は12となり、年度換算係数は12÷12＝1.0000で恒等的に消える。季節性を測定できるようになっても採用値は動かないため、資料の受領を待たない</w:t>
            </w:r>
          </w:p>
        </w:tc>
        <w:tc>
          <w:tcPr>
            <w:tcW w:type="dxa" w:w="2381"/>
            <w:shd w:val="clear" w:color="auto" w:fill="F2F5FA"/>
            <w:vAlign w:val="center"/>
          </w:tcPr>
          <w:p>
            <w:pPr>
              <w:spacing w:after="0"/>
            </w:pPr>
            <w:r>
              <w:rPr>
                <w:rFonts w:ascii="游ゴシック" w:hAnsi="游ゴシック" w:eastAsia="游ゴシック"/>
                <w:b w:val="0"/>
                <w:sz w:val="18"/>
              </w:rPr>
              <w:t>効きは0円</w:t>
            </w:r>
          </w:p>
        </w:tc>
      </w:tr>
    </w:tbl>
    <w:p>
      <w:pPr>
        <w:ind w:left="227"/>
      </w:pPr>
      <w:r>
        <w:rPr>
          <w:rFonts w:ascii="游ゴシック" w:hAnsi="游ゴシック" w:eastAsia="游ゴシック"/>
          <w:b w:val="0"/>
          <w:sz w:val="18"/>
        </w:rPr>
        <w:t>※ いずれも令和8年10月1日に確定し、第3節の算定に反映しています。</w:t>
      </w:r>
    </w:p>
    <w:p>
      <w:pPr>
        <w:keepNext/>
        <w:pageBreakBefore/>
        <w:spacing w:before="0" w:after="120"/>
      </w:pPr>
      <w:r>
        <w:rPr>
          <w:rFonts w:ascii="游ゴシック" w:hAnsi="游ゴシック" w:eastAsia="游ゴシック"/>
          <w:b/>
          <w:color w:val="1F3864"/>
          <w:sz w:val="26"/>
        </w:rPr>
        <w:t>第3節　サービス見込量・給付費・保険料の試算</w:t>
      </w:r>
    </w:p>
    <w:p>
      <w:pPr>
        <w:spacing w:after="80"/>
      </w:pPr>
      <w:r>
        <w:rPr>
          <w:rFonts w:ascii="游ゴシック" w:hAnsi="游ゴシック" w:eastAsia="游ゴシック"/>
          <w:b w:val="0"/>
          <w:sz w:val="21"/>
        </w:rPr>
        <w:t>サービス見込量 第1次概算（令和8年9月26日）の結果です。基準年度は令和7年度、単位は保険者（広域連合）です。介護保険法第3条及び地方自治法第284条により、サービス見込量・給付費・保険料・施策は保険者を単位として算定するもので、町別には算定しません。実績は町別に掲げています。</w:t>
      </w:r>
    </w:p>
    <w:p>
      <w:pPr>
        <w:keepNext/>
        <w:spacing w:before="180" w:after="60"/>
      </w:pPr>
      <w:r>
        <w:rPr>
          <w:rFonts w:ascii="游ゴシック" w:hAnsi="游ゴシック" w:eastAsia="游ゴシック"/>
          <w:b/>
          <w:sz w:val="22"/>
        </w:rPr>
        <w:t>1　第1号被保険者数と認定者数</w:t>
      </w:r>
    </w:p>
    <w:p>
      <w:pPr>
        <w:keepNext/>
        <w:spacing w:before="160" w:after="40"/>
      </w:pPr>
      <w:r>
        <w:rPr>
          <w:rFonts w:ascii="游ゴシック" w:hAnsi="游ゴシック" w:eastAsia="游ゴシック"/>
          <w:b/>
          <w:sz w:val="20"/>
        </w:rPr>
        <w:t>表6　第1号被保険者数と認定者数</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2835"/>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701"/>
            <w:shd w:val="clear" w:color="auto" w:fill="1F3864"/>
            <w:vAlign w:val="center"/>
          </w:tcPr>
          <w:p>
            <w:pPr>
              <w:keepNext/>
              <w:spacing w:after="0"/>
              <w:jc w:val="center"/>
            </w:pPr>
            <w:r>
              <w:rPr>
                <w:rFonts w:ascii="游ゴシック" w:hAnsi="游ゴシック" w:eastAsia="游ゴシック"/>
                <w:b/>
                <w:color w:val="FFFFFF"/>
                <w:sz w:val="18"/>
              </w:rPr>
              <w:t>令和9年度</w:t>
            </w:r>
          </w:p>
        </w:tc>
        <w:tc>
          <w:tcPr>
            <w:tcW w:type="dxa" w:w="1701"/>
            <w:shd w:val="clear" w:color="auto" w:fill="1F3864"/>
            <w:vAlign w:val="center"/>
          </w:tcPr>
          <w:p>
            <w:pPr>
              <w:keepNext/>
              <w:spacing w:after="0"/>
              <w:jc w:val="center"/>
            </w:pPr>
            <w:r>
              <w:rPr>
                <w:rFonts w:ascii="游ゴシック" w:hAnsi="游ゴシック" w:eastAsia="游ゴシック"/>
                <w:b/>
                <w:color w:val="FFFFFF"/>
                <w:sz w:val="18"/>
              </w:rPr>
              <w:t>令和10年度</w:t>
            </w:r>
          </w:p>
        </w:tc>
        <w:tc>
          <w:tcPr>
            <w:tcW w:type="dxa" w:w="1701"/>
            <w:shd w:val="clear" w:color="auto" w:fill="1F3864"/>
            <w:vAlign w:val="center"/>
          </w:tcPr>
          <w:p>
            <w:pPr>
              <w:keepNext/>
              <w:spacing w:after="0"/>
              <w:jc w:val="center"/>
            </w:pPr>
            <w:r>
              <w:rPr>
                <w:rFonts w:ascii="游ゴシック" w:hAnsi="游ゴシック" w:eastAsia="游ゴシック"/>
                <w:b/>
                <w:color w:val="FFFFFF"/>
                <w:sz w:val="18"/>
              </w:rPr>
              <w:t>令和11年度</w:t>
            </w:r>
          </w:p>
        </w:tc>
        <w:tc>
          <w:tcPr>
            <w:tcW w:type="dxa" w:w="1814"/>
            <w:shd w:val="clear" w:color="auto" w:fill="1F3864"/>
            <w:vAlign w:val="center"/>
          </w:tcPr>
          <w:p>
            <w:pPr>
              <w:keepNext/>
              <w:spacing w:after="0"/>
              <w:jc w:val="center"/>
            </w:pPr>
            <w:r>
              <w:rPr>
                <w:rFonts w:ascii="游ゴシック" w:hAnsi="游ゴシック" w:eastAsia="游ゴシック"/>
                <w:b/>
                <w:color w:val="FFFFFF"/>
                <w:sz w:val="18"/>
              </w:rPr>
              <w:t>令和7年度（実績）</w:t>
            </w:r>
          </w:p>
        </w:tc>
      </w:tr>
      <w:tr>
        <w:trPr>
          <w:cantSplit/>
        </w:trPr>
        <w:tc>
          <w:tcPr>
            <w:tcW w:type="dxa" w:w="2835"/>
            <w:vAlign w:val="center"/>
          </w:tcPr>
          <w:p>
            <w:pPr>
              <w:keepNext/>
              <w:spacing w:after="0"/>
            </w:pPr>
            <w:r>
              <w:rPr>
                <w:rFonts w:ascii="游ゴシック" w:hAnsi="游ゴシック" w:eastAsia="游ゴシック"/>
                <w:b/>
                <w:sz w:val="18"/>
              </w:rPr>
              <w:t>第1号被保険者数（人）</w:t>
            </w:r>
          </w:p>
        </w:tc>
        <w:tc>
          <w:tcPr>
            <w:tcW w:type="dxa" w:w="1701"/>
            <w:vAlign w:val="center"/>
          </w:tcPr>
          <w:p>
            <w:pPr>
              <w:keepNext/>
              <w:spacing w:after="0"/>
              <w:jc w:val="center"/>
            </w:pPr>
            <w:r>
              <w:rPr>
                <w:rFonts w:ascii="游ゴシック" w:hAnsi="游ゴシック" w:eastAsia="游ゴシック"/>
                <w:b w:val="0"/>
                <w:sz w:val="18"/>
              </w:rPr>
              <w:t>9,147.0</w:t>
            </w:r>
          </w:p>
        </w:tc>
        <w:tc>
          <w:tcPr>
            <w:tcW w:type="dxa" w:w="1701"/>
            <w:vAlign w:val="center"/>
          </w:tcPr>
          <w:p>
            <w:pPr>
              <w:keepNext/>
              <w:spacing w:after="0"/>
              <w:jc w:val="center"/>
            </w:pPr>
            <w:r>
              <w:rPr>
                <w:rFonts w:ascii="游ゴシック" w:hAnsi="游ゴシック" w:eastAsia="游ゴシック"/>
                <w:b w:val="0"/>
                <w:sz w:val="18"/>
              </w:rPr>
              <w:t>9,179.0</w:t>
            </w:r>
          </w:p>
        </w:tc>
        <w:tc>
          <w:tcPr>
            <w:tcW w:type="dxa" w:w="1701"/>
            <w:vAlign w:val="center"/>
          </w:tcPr>
          <w:p>
            <w:pPr>
              <w:keepNext/>
              <w:spacing w:after="0"/>
              <w:jc w:val="center"/>
            </w:pPr>
            <w:r>
              <w:rPr>
                <w:rFonts w:ascii="游ゴシック" w:hAnsi="游ゴシック" w:eastAsia="游ゴシック"/>
                <w:b w:val="0"/>
                <w:sz w:val="18"/>
              </w:rPr>
              <w:t>9,213.4</w:t>
            </w:r>
          </w:p>
        </w:tc>
        <w:tc>
          <w:tcPr>
            <w:tcW w:type="dxa" w:w="1814"/>
            <w:vAlign w:val="center"/>
          </w:tcPr>
          <w:p>
            <w:pPr>
              <w:keepNext/>
              <w:spacing w:after="0"/>
              <w:jc w:val="center"/>
            </w:pPr>
            <w:r>
              <w:rPr>
                <w:rFonts w:ascii="游ゴシック" w:hAnsi="游ゴシック" w:eastAsia="游ゴシック"/>
                <w:b w:val="0"/>
                <w:sz w:val="18"/>
              </w:rPr>
              <w:t>9,090.0</w:t>
            </w:r>
          </w:p>
        </w:tc>
      </w:tr>
      <w:tr>
        <w:trPr>
          <w:cantSplit/>
        </w:trPr>
        <w:tc>
          <w:tcPr>
            <w:tcW w:type="dxa" w:w="2835"/>
            <w:shd w:val="clear" w:color="auto" w:fill="F2F5FA"/>
            <w:vAlign w:val="center"/>
          </w:tcPr>
          <w:p>
            <w:pPr>
              <w:spacing w:after="0"/>
            </w:pPr>
            <w:r>
              <w:rPr>
                <w:rFonts w:ascii="游ゴシック" w:hAnsi="游ゴシック" w:eastAsia="游ゴシック"/>
                <w:b/>
                <w:sz w:val="18"/>
              </w:rPr>
              <w:t>認定者数（人）</w:t>
            </w:r>
          </w:p>
        </w:tc>
        <w:tc>
          <w:tcPr>
            <w:tcW w:type="dxa" w:w="1701"/>
            <w:shd w:val="clear" w:color="auto" w:fill="F2F5FA"/>
            <w:vAlign w:val="center"/>
          </w:tcPr>
          <w:p>
            <w:pPr>
              <w:spacing w:after="0"/>
              <w:jc w:val="center"/>
            </w:pPr>
            <w:r>
              <w:rPr>
                <w:rFonts w:ascii="游ゴシック" w:hAnsi="游ゴシック" w:eastAsia="游ゴシック"/>
                <w:b w:val="0"/>
                <w:sz w:val="18"/>
              </w:rPr>
              <w:t>2,025.1</w:t>
            </w:r>
          </w:p>
        </w:tc>
        <w:tc>
          <w:tcPr>
            <w:tcW w:type="dxa" w:w="1701"/>
            <w:shd w:val="clear" w:color="auto" w:fill="F2F5FA"/>
            <w:vAlign w:val="center"/>
          </w:tcPr>
          <w:p>
            <w:pPr>
              <w:spacing w:after="0"/>
              <w:jc w:val="center"/>
            </w:pPr>
            <w:r>
              <w:rPr>
                <w:rFonts w:ascii="游ゴシック" w:hAnsi="游ゴシック" w:eastAsia="游ゴシック"/>
                <w:b w:val="0"/>
                <w:sz w:val="18"/>
              </w:rPr>
              <w:t>2,046.1</w:t>
            </w:r>
          </w:p>
        </w:tc>
        <w:tc>
          <w:tcPr>
            <w:tcW w:type="dxa" w:w="1701"/>
            <w:shd w:val="clear" w:color="auto" w:fill="F2F5FA"/>
            <w:vAlign w:val="center"/>
          </w:tcPr>
          <w:p>
            <w:pPr>
              <w:spacing w:after="0"/>
              <w:jc w:val="center"/>
            </w:pPr>
            <w:r>
              <w:rPr>
                <w:rFonts w:ascii="游ゴシック" w:hAnsi="游ゴシック" w:eastAsia="游ゴシック"/>
                <w:b w:val="0"/>
                <w:sz w:val="18"/>
              </w:rPr>
              <w:t>2,067.4</w:t>
            </w:r>
          </w:p>
        </w:tc>
        <w:tc>
          <w:tcPr>
            <w:tcW w:type="dxa" w:w="1814"/>
            <w:shd w:val="clear" w:color="auto" w:fill="F2F5FA"/>
            <w:vAlign w:val="center"/>
          </w:tcPr>
          <w:p>
            <w:pPr>
              <w:spacing w:after="0"/>
              <w:jc w:val="center"/>
            </w:pPr>
            <w:r>
              <w:rPr>
                <w:rFonts w:ascii="游ゴシック" w:hAnsi="游ゴシック" w:eastAsia="游ゴシック"/>
                <w:b w:val="0"/>
                <w:sz w:val="18"/>
              </w:rPr>
              <w:t>1,984.0</w:t>
            </w:r>
          </w:p>
        </w:tc>
      </w:tr>
    </w:tbl>
    <w:p>
      <w:pPr>
        <w:spacing w:after="80"/>
      </w:pPr>
      <w:r>
        <w:rPr>
          <w:rFonts w:ascii="游ゴシック" w:hAnsi="游ゴシック" w:eastAsia="游ゴシック"/>
          <w:b w:val="0"/>
          <w:sz w:val="17"/>
        </w:rPr>
        <w:t>資料：住民基本台帳及び地方創生総合戦略（案C）、厚生労働省「介護保険事業状況報告」年報（令和7年度）</w:t>
      </w:r>
    </w:p>
    <w:p>
      <w:pPr>
        <w:keepNext/>
        <w:spacing w:before="180" w:after="60"/>
      </w:pPr>
      <w:r>
        <w:rPr>
          <w:rFonts w:ascii="游ゴシック" w:hAnsi="游ゴシック" w:eastAsia="游ゴシック"/>
          <w:b/>
          <w:sz w:val="22"/>
        </w:rPr>
        <w:t>2　給付費</w:t>
      </w:r>
    </w:p>
    <w:p>
      <w:pPr>
        <w:keepNext/>
        <w:spacing w:before="160" w:after="40"/>
      </w:pPr>
      <w:r>
        <w:rPr>
          <w:rFonts w:ascii="游ゴシック" w:hAnsi="游ゴシック" w:eastAsia="游ゴシック"/>
          <w:b/>
          <w:sz w:val="20"/>
        </w:rPr>
        <w:t>表7　介護給付費・介護予防給付費の見込み</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2494"/>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令和9年度</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令和10年度</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令和11年度</w:t>
            </w:r>
          </w:p>
        </w:tc>
        <w:tc>
          <w:tcPr>
            <w:tcW w:type="dxa" w:w="1474"/>
            <w:shd w:val="clear" w:color="auto" w:fill="1F3864"/>
            <w:vAlign w:val="center"/>
          </w:tcPr>
          <w:p>
            <w:pPr>
              <w:keepNext/>
              <w:spacing w:after="0"/>
              <w:jc w:val="center"/>
            </w:pPr>
            <w:r>
              <w:rPr>
                <w:rFonts w:ascii="游ゴシック" w:hAnsi="游ゴシック" w:eastAsia="游ゴシック"/>
                <w:b/>
                <w:color w:val="FFFFFF"/>
                <w:sz w:val="18"/>
              </w:rPr>
              <w:t>3か年計</w:t>
            </w:r>
          </w:p>
        </w:tc>
      </w:tr>
      <w:tr>
        <w:trPr>
          <w:cantSplit/>
        </w:trPr>
        <w:tc>
          <w:tcPr>
            <w:tcW w:type="dxa" w:w="2494"/>
            <w:vAlign w:val="center"/>
          </w:tcPr>
          <w:p>
            <w:pPr>
              <w:spacing w:after="0"/>
            </w:pPr>
            <w:r>
              <w:rPr>
                <w:rFonts w:ascii="游ゴシック" w:hAnsi="游ゴシック" w:eastAsia="游ゴシック"/>
                <w:b/>
                <w:sz w:val="18"/>
              </w:rPr>
              <w:t>総給付費（円）</w:t>
            </w:r>
          </w:p>
        </w:tc>
        <w:tc>
          <w:tcPr>
            <w:tcW w:type="dxa" w:w="1928"/>
            <w:vAlign w:val="center"/>
          </w:tcPr>
          <w:p>
            <w:pPr>
              <w:spacing w:after="0"/>
              <w:jc w:val="center"/>
            </w:pPr>
            <w:r>
              <w:rPr>
                <w:rFonts w:ascii="游ゴシック" w:hAnsi="游ゴシック" w:eastAsia="游ゴシック"/>
                <w:b w:val="0"/>
                <w:sz w:val="18"/>
              </w:rPr>
              <w:t>2,978,975,041</w:t>
            </w:r>
          </w:p>
        </w:tc>
        <w:tc>
          <w:tcPr>
            <w:tcW w:type="dxa" w:w="1928"/>
            <w:vAlign w:val="center"/>
          </w:tcPr>
          <w:p>
            <w:pPr>
              <w:spacing w:after="0"/>
              <w:jc w:val="center"/>
            </w:pPr>
            <w:r>
              <w:rPr>
                <w:rFonts w:ascii="游ゴシック" w:hAnsi="游ゴシック" w:eastAsia="游ゴシック"/>
                <w:b w:val="0"/>
                <w:sz w:val="18"/>
              </w:rPr>
              <w:t>3,011,540,164</w:t>
            </w:r>
          </w:p>
        </w:tc>
        <w:tc>
          <w:tcPr>
            <w:tcW w:type="dxa" w:w="1928"/>
            <w:vAlign w:val="center"/>
          </w:tcPr>
          <w:p>
            <w:pPr>
              <w:spacing w:after="0"/>
              <w:jc w:val="center"/>
            </w:pPr>
            <w:r>
              <w:rPr>
                <w:rFonts w:ascii="游ゴシック" w:hAnsi="游ゴシック" w:eastAsia="游ゴシック"/>
                <w:b w:val="0"/>
                <w:sz w:val="18"/>
              </w:rPr>
              <w:t>3,044,598,937</w:t>
            </w:r>
          </w:p>
        </w:tc>
        <w:tc>
          <w:tcPr>
            <w:tcW w:type="dxa" w:w="1474"/>
            <w:vAlign w:val="center"/>
          </w:tcPr>
          <w:p>
            <w:pPr>
              <w:spacing w:after="0"/>
              <w:jc w:val="center"/>
            </w:pPr>
            <w:r>
              <w:rPr>
                <w:rFonts w:ascii="游ゴシック" w:hAnsi="游ゴシック" w:eastAsia="游ゴシック"/>
                <w:b w:val="0"/>
                <w:sz w:val="18"/>
              </w:rPr>
              <w:t>9,035,114,142</w:t>
            </w:r>
          </w:p>
        </w:tc>
      </w:tr>
    </w:tbl>
    <w:p>
      <w:pPr>
        <w:spacing w:after="80"/>
      </w:pPr>
      <w:r>
        <w:rPr>
          <w:rFonts w:ascii="游ゴシック" w:hAnsi="游ゴシック" w:eastAsia="游ゴシック"/>
          <w:b w:val="0"/>
          <w:sz w:val="17"/>
        </w:rPr>
        <w:t>資料：サービス見込量の算定（第1次概算）</w:t>
      </w:r>
    </w:p>
    <w:p>
      <w:pPr>
        <w:ind w:left="227"/>
      </w:pPr>
      <w:r>
        <w:rPr>
          <w:rFonts w:ascii="游ゴシック" w:hAnsi="游ゴシック" w:eastAsia="游ゴシック"/>
          <w:b w:val="0"/>
          <w:sz w:val="18"/>
        </w:rPr>
        <w:t>※ 基準年度（令和7年度）の給付費は、地域包括ケア「見える化」システムの総括表と円単位で一致します。</w:t>
      </w:r>
    </w:p>
    <w:p>
      <w:pPr>
        <w:keepNext/>
        <w:spacing w:before="180" w:after="60"/>
      </w:pPr>
      <w:r>
        <w:rPr>
          <w:rFonts w:ascii="游ゴシック" w:hAnsi="游ゴシック" w:eastAsia="游ゴシック"/>
          <w:b/>
          <w:sz w:val="22"/>
        </w:rPr>
        <w:t>3　保険料</w:t>
      </w:r>
    </w:p>
    <w:p>
      <w:pPr>
        <w:keepNext/>
        <w:spacing w:before="160" w:after="40"/>
      </w:pPr>
      <w:r>
        <w:rPr>
          <w:rFonts w:ascii="游ゴシック" w:hAnsi="游ゴシック" w:eastAsia="游ゴシック"/>
          <w:b/>
          <w:sz w:val="20"/>
        </w:rPr>
        <w:t>表8　第10期保険料算定表</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3402"/>
            <w:shd w:val="clear" w:color="auto" w:fill="1F3864"/>
            <w:vAlign w:val="center"/>
          </w:tcPr>
          <w:p>
            <w:pPr>
              <w:keepNext/>
              <w:spacing w:after="0"/>
              <w:jc w:val="center"/>
            </w:pPr>
            <w:r>
              <w:rPr>
                <w:rFonts w:ascii="游ゴシック" w:hAnsi="游ゴシック" w:eastAsia="游ゴシック"/>
                <w:b/>
                <w:color w:val="FFFFFF"/>
                <w:sz w:val="18"/>
              </w:rPr>
              <w:t>項目</w:t>
            </w:r>
          </w:p>
        </w:tc>
        <w:tc>
          <w:tcPr>
            <w:tcW w:type="dxa" w:w="3061"/>
            <w:shd w:val="clear" w:color="auto" w:fill="1F3864"/>
            <w:vAlign w:val="center"/>
          </w:tcPr>
          <w:p>
            <w:pPr>
              <w:keepNext/>
              <w:spacing w:after="0"/>
              <w:jc w:val="center"/>
            </w:pPr>
            <w:r>
              <w:rPr>
                <w:rFonts w:ascii="游ゴシック" w:hAnsi="游ゴシック" w:eastAsia="游ゴシック"/>
                <w:b/>
                <w:color w:val="FFFFFF"/>
                <w:sz w:val="18"/>
              </w:rPr>
              <w:t>記号・算式</w:t>
            </w:r>
          </w:p>
        </w:tc>
        <w:tc>
          <w:tcPr>
            <w:tcW w:type="dxa" w:w="3288"/>
            <w:shd w:val="clear" w:color="auto" w:fill="1F3864"/>
            <w:vAlign w:val="center"/>
          </w:tcPr>
          <w:p>
            <w:pPr>
              <w:keepNext/>
              <w:spacing w:after="0"/>
              <w:jc w:val="center"/>
            </w:pPr>
            <w:r>
              <w:rPr>
                <w:rFonts w:ascii="游ゴシック" w:hAnsi="游ゴシック" w:eastAsia="游ゴシック"/>
                <w:b/>
                <w:color w:val="FFFFFF"/>
                <w:sz w:val="18"/>
              </w:rPr>
              <w:t>第10期計（円）</w:t>
            </w:r>
          </w:p>
        </w:tc>
      </w:tr>
      <w:tr>
        <w:trPr>
          <w:cantSplit/>
        </w:trPr>
        <w:tc>
          <w:tcPr>
            <w:tcW w:type="dxa" w:w="3402"/>
            <w:vAlign w:val="center"/>
          </w:tcPr>
          <w:p>
            <w:pPr>
              <w:keepNext/>
              <w:spacing w:after="0"/>
            </w:pPr>
            <w:r>
              <w:rPr>
                <w:rFonts w:ascii="游ゴシック" w:hAnsi="游ゴシック" w:eastAsia="游ゴシック"/>
                <w:b/>
                <w:sz w:val="18"/>
              </w:rPr>
              <w:t>標準給付費見込額</w:t>
            </w:r>
          </w:p>
        </w:tc>
        <w:tc>
          <w:tcPr>
            <w:tcW w:type="dxa" w:w="3061"/>
            <w:vAlign w:val="center"/>
          </w:tcPr>
          <w:p>
            <w:pPr>
              <w:keepNext/>
              <w:spacing w:after="0"/>
            </w:pPr>
            <w:r>
              <w:rPr>
                <w:rFonts w:ascii="游ゴシック" w:hAnsi="游ゴシック" w:eastAsia="游ゴシック"/>
                <w:b w:val="0"/>
                <w:sz w:val="18"/>
              </w:rPr>
              <w:t>A</w:t>
            </w:r>
          </w:p>
        </w:tc>
        <w:tc>
          <w:tcPr>
            <w:tcW w:type="dxa" w:w="3288"/>
            <w:vAlign w:val="center"/>
          </w:tcPr>
          <w:p>
            <w:pPr>
              <w:keepNext/>
              <w:spacing w:after="0"/>
            </w:pPr>
            <w:r>
              <w:rPr>
                <w:rFonts w:ascii="游ゴシック" w:hAnsi="游ゴシック" w:eastAsia="游ゴシック"/>
                <w:b/>
                <w:sz w:val="18"/>
              </w:rPr>
              <w:t>9,569,019,924</w:t>
            </w:r>
          </w:p>
        </w:tc>
      </w:tr>
      <w:tr>
        <w:trPr>
          <w:cantSplit/>
        </w:trPr>
        <w:tc>
          <w:tcPr>
            <w:tcW w:type="dxa" w:w="3402"/>
            <w:shd w:val="clear" w:color="auto" w:fill="F2F5FA"/>
            <w:vAlign w:val="center"/>
          </w:tcPr>
          <w:p>
            <w:pPr>
              <w:keepNext/>
              <w:spacing w:after="0"/>
            </w:pPr>
            <w:r>
              <w:rPr>
                <w:rFonts w:ascii="游ゴシック" w:hAnsi="游ゴシック" w:eastAsia="游ゴシック"/>
                <w:b/>
                <w:sz w:val="18"/>
              </w:rPr>
              <w:t>地域支援事業費</w:t>
            </w:r>
          </w:p>
        </w:tc>
        <w:tc>
          <w:tcPr>
            <w:tcW w:type="dxa" w:w="3061"/>
            <w:shd w:val="clear" w:color="auto" w:fill="F2F5FA"/>
            <w:vAlign w:val="center"/>
          </w:tcPr>
          <w:p>
            <w:pPr>
              <w:keepNext/>
              <w:spacing w:after="0"/>
            </w:pPr>
            <w:r>
              <w:rPr>
                <w:rFonts w:ascii="游ゴシック" w:hAnsi="游ゴシック" w:eastAsia="游ゴシック"/>
                <w:b w:val="0"/>
                <w:sz w:val="18"/>
              </w:rPr>
              <w:t>B</w:t>
            </w:r>
          </w:p>
        </w:tc>
        <w:tc>
          <w:tcPr>
            <w:tcW w:type="dxa" w:w="3288"/>
            <w:shd w:val="clear" w:color="auto" w:fill="F2F5FA"/>
            <w:vAlign w:val="center"/>
          </w:tcPr>
          <w:p>
            <w:pPr>
              <w:keepNext/>
              <w:spacing w:after="0"/>
            </w:pPr>
            <w:r>
              <w:rPr>
                <w:rFonts w:ascii="游ゴシック" w:hAnsi="游ゴシック" w:eastAsia="游ゴシック"/>
                <w:b/>
                <w:sz w:val="18"/>
              </w:rPr>
              <w:t>531,483,777</w:t>
            </w:r>
          </w:p>
        </w:tc>
      </w:tr>
      <w:tr>
        <w:trPr>
          <w:cantSplit/>
        </w:trPr>
        <w:tc>
          <w:tcPr>
            <w:tcW w:type="dxa" w:w="3402"/>
            <w:vAlign w:val="center"/>
          </w:tcPr>
          <w:p>
            <w:pPr>
              <w:keepNext/>
              <w:spacing w:after="0"/>
            </w:pPr>
            <w:r>
              <w:rPr>
                <w:rFonts w:ascii="游ゴシック" w:hAnsi="游ゴシック" w:eastAsia="游ゴシック"/>
                <w:b/>
                <w:sz w:val="18"/>
              </w:rPr>
              <w:t>第1号被保険者負担分相当額</w:t>
            </w:r>
          </w:p>
        </w:tc>
        <w:tc>
          <w:tcPr>
            <w:tcW w:type="dxa" w:w="3061"/>
            <w:vAlign w:val="center"/>
          </w:tcPr>
          <w:p>
            <w:pPr>
              <w:keepNext/>
              <w:spacing w:after="0"/>
            </w:pPr>
            <w:r>
              <w:rPr>
                <w:rFonts w:ascii="游ゴシック" w:hAnsi="游ゴシック" w:eastAsia="游ゴシック"/>
                <w:b w:val="0"/>
                <w:sz w:val="18"/>
              </w:rPr>
              <w:t>C＝①×23％</w:t>
            </w:r>
          </w:p>
        </w:tc>
        <w:tc>
          <w:tcPr>
            <w:tcW w:type="dxa" w:w="3288"/>
            <w:vAlign w:val="center"/>
          </w:tcPr>
          <w:p>
            <w:pPr>
              <w:keepNext/>
              <w:spacing w:after="0"/>
            </w:pPr>
            <w:r>
              <w:rPr>
                <w:rFonts w:ascii="游ゴシック" w:hAnsi="游ゴシック" w:eastAsia="游ゴシック"/>
                <w:b/>
                <w:sz w:val="18"/>
              </w:rPr>
              <w:t>2,323,115,851</w:t>
            </w:r>
          </w:p>
        </w:tc>
      </w:tr>
      <w:tr>
        <w:trPr>
          <w:cantSplit/>
        </w:trPr>
        <w:tc>
          <w:tcPr>
            <w:tcW w:type="dxa" w:w="3402"/>
            <w:shd w:val="clear" w:color="auto" w:fill="F2F5FA"/>
            <w:vAlign w:val="center"/>
          </w:tcPr>
          <w:p>
            <w:pPr>
              <w:keepNext/>
              <w:spacing w:after="0"/>
            </w:pPr>
            <w:r>
              <w:rPr>
                <w:rFonts w:ascii="游ゴシック" w:hAnsi="游ゴシック" w:eastAsia="游ゴシック"/>
                <w:b/>
                <w:sz w:val="18"/>
              </w:rPr>
              <w:t>調整交付金相当額</w:t>
            </w:r>
          </w:p>
        </w:tc>
        <w:tc>
          <w:tcPr>
            <w:tcW w:type="dxa" w:w="3061"/>
            <w:shd w:val="clear" w:color="auto" w:fill="F2F5FA"/>
            <w:vAlign w:val="center"/>
          </w:tcPr>
          <w:p>
            <w:pPr>
              <w:keepNext/>
              <w:spacing w:after="0"/>
            </w:pPr>
            <w:r>
              <w:rPr>
                <w:rFonts w:ascii="游ゴシック" w:hAnsi="游ゴシック" w:eastAsia="游ゴシック"/>
                <w:b w:val="0"/>
                <w:sz w:val="18"/>
              </w:rPr>
              <w:t>D＝②×5％</w:t>
            </w:r>
          </w:p>
        </w:tc>
        <w:tc>
          <w:tcPr>
            <w:tcW w:type="dxa" w:w="3288"/>
            <w:shd w:val="clear" w:color="auto" w:fill="F2F5FA"/>
            <w:vAlign w:val="center"/>
          </w:tcPr>
          <w:p>
            <w:pPr>
              <w:keepNext/>
              <w:spacing w:after="0"/>
            </w:pPr>
            <w:r>
              <w:rPr>
                <w:rFonts w:ascii="游ゴシック" w:hAnsi="游ゴシック" w:eastAsia="游ゴシック"/>
                <w:b/>
                <w:sz w:val="18"/>
              </w:rPr>
              <w:t>494,520,394</w:t>
            </w:r>
          </w:p>
        </w:tc>
      </w:tr>
      <w:tr>
        <w:trPr>
          <w:cantSplit/>
        </w:trPr>
        <w:tc>
          <w:tcPr>
            <w:tcW w:type="dxa" w:w="3402"/>
            <w:vAlign w:val="center"/>
          </w:tcPr>
          <w:p>
            <w:pPr>
              <w:keepNext/>
              <w:spacing w:after="0"/>
            </w:pPr>
            <w:r>
              <w:rPr>
                <w:rFonts w:ascii="游ゴシック" w:hAnsi="游ゴシック" w:eastAsia="游ゴシック"/>
                <w:b/>
                <w:sz w:val="18"/>
              </w:rPr>
              <w:t>調整交付金見込額</w:t>
            </w:r>
          </w:p>
        </w:tc>
        <w:tc>
          <w:tcPr>
            <w:tcW w:type="dxa" w:w="3061"/>
            <w:vAlign w:val="center"/>
          </w:tcPr>
          <w:p>
            <w:pPr>
              <w:keepNext/>
              <w:spacing w:after="0"/>
            </w:pPr>
            <w:r>
              <w:rPr>
                <w:rFonts w:ascii="游ゴシック" w:hAnsi="游ゴシック" w:eastAsia="游ゴシック"/>
                <w:b w:val="0"/>
                <w:sz w:val="18"/>
              </w:rPr>
              <w:t>E＝②×7.3755％</w:t>
            </w:r>
          </w:p>
        </w:tc>
        <w:tc>
          <w:tcPr>
            <w:tcW w:type="dxa" w:w="3288"/>
            <w:vAlign w:val="center"/>
          </w:tcPr>
          <w:p>
            <w:pPr>
              <w:keepNext/>
              <w:spacing w:after="0"/>
            </w:pPr>
            <w:r>
              <w:rPr>
                <w:rFonts w:ascii="游ゴシック" w:hAnsi="游ゴシック" w:eastAsia="游ゴシック"/>
                <w:b/>
                <w:sz w:val="18"/>
              </w:rPr>
              <w:t>729,464,444</w:t>
            </w:r>
          </w:p>
        </w:tc>
      </w:tr>
      <w:tr>
        <w:trPr>
          <w:cantSplit/>
        </w:trPr>
        <w:tc>
          <w:tcPr>
            <w:tcW w:type="dxa" w:w="3402"/>
            <w:shd w:val="clear" w:color="auto" w:fill="F2F5FA"/>
            <w:vAlign w:val="center"/>
          </w:tcPr>
          <w:p>
            <w:pPr>
              <w:keepNext/>
              <w:spacing w:after="0"/>
            </w:pPr>
            <w:r>
              <w:rPr>
                <w:rFonts w:ascii="游ゴシック" w:hAnsi="游ゴシック" w:eastAsia="游ゴシック"/>
                <w:b/>
                <w:sz w:val="18"/>
              </w:rPr>
              <w:t>保険料収納必要額</w:t>
            </w:r>
          </w:p>
        </w:tc>
        <w:tc>
          <w:tcPr>
            <w:tcW w:type="dxa" w:w="3061"/>
            <w:shd w:val="clear" w:color="auto" w:fill="F2F5FA"/>
            <w:vAlign w:val="center"/>
          </w:tcPr>
          <w:p>
            <w:pPr>
              <w:keepNext/>
              <w:spacing w:after="0"/>
            </w:pPr>
            <w:r>
              <w:rPr>
                <w:rFonts w:ascii="游ゴシック" w:hAnsi="游ゴシック" w:eastAsia="游ゴシック"/>
                <w:b w:val="0"/>
                <w:sz w:val="18"/>
              </w:rPr>
              <w:t>J＝C＋D－E＋F＋G±H－I</w:t>
            </w:r>
          </w:p>
        </w:tc>
        <w:tc>
          <w:tcPr>
            <w:tcW w:type="dxa" w:w="3288"/>
            <w:shd w:val="clear" w:color="auto" w:fill="F2F5FA"/>
            <w:vAlign w:val="center"/>
          </w:tcPr>
          <w:p>
            <w:pPr>
              <w:keepNext/>
              <w:spacing w:after="0"/>
            </w:pPr>
            <w:r>
              <w:rPr>
                <w:rFonts w:ascii="游ゴシック" w:hAnsi="游ゴシック" w:eastAsia="游ゴシック"/>
                <w:b/>
                <w:sz w:val="18"/>
              </w:rPr>
              <w:t>2,088,171,801</w:t>
            </w:r>
          </w:p>
        </w:tc>
      </w:tr>
      <w:tr>
        <w:trPr>
          <w:cantSplit/>
        </w:trPr>
        <w:tc>
          <w:tcPr>
            <w:tcW w:type="dxa" w:w="3402"/>
            <w:vAlign w:val="center"/>
          </w:tcPr>
          <w:p>
            <w:pPr>
              <w:keepNext/>
              <w:spacing w:after="0"/>
            </w:pPr>
            <w:r>
              <w:rPr>
                <w:rFonts w:ascii="游ゴシック" w:hAnsi="游ゴシック" w:eastAsia="游ゴシック"/>
                <w:b/>
                <w:sz w:val="18"/>
              </w:rPr>
              <w:t>財政安定化基金拠出金・償還金等</w:t>
            </w:r>
          </w:p>
        </w:tc>
        <w:tc>
          <w:tcPr>
            <w:tcW w:type="dxa" w:w="3061"/>
            <w:vAlign w:val="center"/>
          </w:tcPr>
          <w:p>
            <w:pPr>
              <w:keepNext/>
              <w:spacing w:after="0"/>
            </w:pPr>
            <w:r>
              <w:rPr>
                <w:rFonts w:ascii="游ゴシック" w:hAnsi="游ゴシック" w:eastAsia="游ゴシック"/>
                <w:b w:val="0"/>
                <w:sz w:val="18"/>
              </w:rPr>
              <w:t>F・G・H</w:t>
            </w:r>
          </w:p>
        </w:tc>
        <w:tc>
          <w:tcPr>
            <w:tcW w:type="dxa" w:w="3288"/>
            <w:vAlign w:val="center"/>
          </w:tcPr>
          <w:p>
            <w:pPr>
              <w:keepNext/>
              <w:spacing w:after="0"/>
            </w:pPr>
            <w:r>
              <w:rPr>
                <w:rFonts w:ascii="游ゴシック" w:hAnsi="游ゴシック" w:eastAsia="游ゴシック"/>
                <w:b/>
                <w:sz w:val="18"/>
              </w:rPr>
              <w:t>0</w:t>
            </w:r>
          </w:p>
        </w:tc>
      </w:tr>
      <w:tr>
        <w:trPr>
          <w:cantSplit/>
        </w:trPr>
        <w:tc>
          <w:tcPr>
            <w:tcW w:type="dxa" w:w="3402"/>
            <w:shd w:val="clear" w:color="auto" w:fill="F2F5FA"/>
            <w:vAlign w:val="center"/>
          </w:tcPr>
          <w:p>
            <w:pPr>
              <w:keepNext/>
              <w:spacing w:after="0"/>
            </w:pPr>
            <w:r>
              <w:rPr>
                <w:rFonts w:ascii="游ゴシック" w:hAnsi="游ゴシック" w:eastAsia="游ゴシック"/>
                <w:b/>
                <w:sz w:val="18"/>
              </w:rPr>
              <w:t>財政調整基金取崩額</w:t>
            </w:r>
          </w:p>
        </w:tc>
        <w:tc>
          <w:tcPr>
            <w:tcW w:type="dxa" w:w="3061"/>
            <w:shd w:val="clear" w:color="auto" w:fill="F2F5FA"/>
            <w:vAlign w:val="center"/>
          </w:tcPr>
          <w:p>
            <w:pPr>
              <w:keepNext/>
              <w:spacing w:after="0"/>
            </w:pPr>
            <w:r>
              <w:rPr>
                <w:rFonts w:ascii="游ゴシック" w:hAnsi="游ゴシック" w:eastAsia="游ゴシック"/>
                <w:b w:val="0"/>
                <w:sz w:val="18"/>
              </w:rPr>
              <w:t>I</w:t>
            </w:r>
          </w:p>
        </w:tc>
        <w:tc>
          <w:tcPr>
            <w:tcW w:type="dxa" w:w="3288"/>
            <w:shd w:val="clear" w:color="auto" w:fill="F2F5FA"/>
            <w:vAlign w:val="center"/>
          </w:tcPr>
          <w:p>
            <w:pPr>
              <w:keepNext/>
              <w:spacing w:after="0"/>
            </w:pPr>
            <w:r>
              <w:rPr>
                <w:rFonts w:ascii="游ゴシック" w:hAnsi="游ゴシック" w:eastAsia="游ゴシック"/>
                <w:b/>
                <w:sz w:val="18"/>
              </w:rPr>
              <w:t>0［要協議］</w:t>
            </w:r>
          </w:p>
        </w:tc>
      </w:tr>
      <w:tr>
        <w:trPr>
          <w:cantSplit/>
        </w:trPr>
        <w:tc>
          <w:tcPr>
            <w:tcW w:type="dxa" w:w="3402"/>
            <w:vAlign w:val="center"/>
          </w:tcPr>
          <w:p>
            <w:pPr>
              <w:keepNext/>
              <w:spacing w:after="0"/>
            </w:pPr>
            <w:r>
              <w:rPr>
                <w:rFonts w:ascii="游ゴシック" w:hAnsi="游ゴシック" w:eastAsia="游ゴシック"/>
                <w:b/>
                <w:sz w:val="18"/>
              </w:rPr>
              <w:t>予定保険料収納率</w:t>
            </w:r>
          </w:p>
        </w:tc>
        <w:tc>
          <w:tcPr>
            <w:tcW w:type="dxa" w:w="3061"/>
            <w:vAlign w:val="center"/>
          </w:tcPr>
          <w:p>
            <w:pPr>
              <w:keepNext/>
              <w:spacing w:after="0"/>
            </w:pPr>
            <w:r>
              <w:rPr>
                <w:rFonts w:ascii="游ゴシック" w:hAnsi="游ゴシック" w:eastAsia="游ゴシック"/>
                <w:b w:val="0"/>
                <w:sz w:val="18"/>
              </w:rPr>
              <w:t>収納率</w:t>
            </w:r>
          </w:p>
        </w:tc>
        <w:tc>
          <w:tcPr>
            <w:tcW w:type="dxa" w:w="3288"/>
            <w:vAlign w:val="center"/>
          </w:tcPr>
          <w:p>
            <w:pPr>
              <w:keepNext/>
              <w:spacing w:after="0"/>
            </w:pPr>
            <w:r>
              <w:rPr>
                <w:rFonts w:ascii="游ゴシック" w:hAnsi="游ゴシック" w:eastAsia="游ゴシック"/>
                <w:b/>
                <w:sz w:val="18"/>
              </w:rPr>
              <w:t>99.0％</w:t>
            </w:r>
          </w:p>
        </w:tc>
      </w:tr>
      <w:tr>
        <w:trPr>
          <w:cantSplit/>
        </w:trPr>
        <w:tc>
          <w:tcPr>
            <w:tcW w:type="dxa" w:w="3402"/>
            <w:shd w:val="clear" w:color="auto" w:fill="F2F5FA"/>
            <w:vAlign w:val="center"/>
          </w:tcPr>
          <w:p>
            <w:pPr>
              <w:keepNext/>
              <w:spacing w:after="0"/>
            </w:pPr>
            <w:r>
              <w:rPr>
                <w:rFonts w:ascii="游ゴシック" w:hAnsi="游ゴシック" w:eastAsia="游ゴシック"/>
                <w:b/>
                <w:sz w:val="18"/>
              </w:rPr>
              <w:t>補正後被保険者数</w:t>
            </w:r>
          </w:p>
        </w:tc>
        <w:tc>
          <w:tcPr>
            <w:tcW w:type="dxa" w:w="3061"/>
            <w:shd w:val="clear" w:color="auto" w:fill="F2F5FA"/>
            <w:vAlign w:val="center"/>
          </w:tcPr>
          <w:p>
            <w:pPr>
              <w:keepNext/>
              <w:spacing w:after="0"/>
            </w:pPr>
            <w:r>
              <w:rPr>
                <w:rFonts w:ascii="游ゴシック" w:hAnsi="游ゴシック" w:eastAsia="游ゴシック"/>
                <w:b w:val="0"/>
                <w:sz w:val="18"/>
              </w:rPr>
              <w:t>所得段階等補正</w:t>
            </w:r>
          </w:p>
        </w:tc>
        <w:tc>
          <w:tcPr>
            <w:tcW w:type="dxa" w:w="3288"/>
            <w:shd w:val="clear" w:color="auto" w:fill="F2F5FA"/>
            <w:vAlign w:val="center"/>
          </w:tcPr>
          <w:p>
            <w:pPr>
              <w:keepNext/>
              <w:spacing w:after="0"/>
            </w:pPr>
            <w:r>
              <w:rPr>
                <w:rFonts w:ascii="游ゴシック" w:hAnsi="游ゴシック" w:eastAsia="游ゴシック"/>
                <w:b/>
                <w:sz w:val="18"/>
              </w:rPr>
              <w:t>27,301.2人</w:t>
            </w:r>
          </w:p>
        </w:tc>
      </w:tr>
      <w:tr>
        <w:trPr>
          <w:cantSplit/>
        </w:trPr>
        <w:tc>
          <w:tcPr>
            <w:tcW w:type="dxa" w:w="3402"/>
            <w:vAlign w:val="center"/>
          </w:tcPr>
          <w:p>
            <w:pPr>
              <w:keepNext/>
              <w:spacing w:after="0"/>
            </w:pPr>
            <w:r>
              <w:rPr>
                <w:rFonts w:ascii="游ゴシック" w:hAnsi="游ゴシック" w:eastAsia="游ゴシック"/>
                <w:b/>
                <w:sz w:val="18"/>
              </w:rPr>
              <w:t>算定上の月額基準額</w:t>
            </w:r>
          </w:p>
        </w:tc>
        <w:tc>
          <w:tcPr>
            <w:tcW w:type="dxa" w:w="3061"/>
            <w:vAlign w:val="center"/>
          </w:tcPr>
          <w:p>
            <w:pPr>
              <w:keepNext/>
              <w:spacing w:after="0"/>
            </w:pPr>
            <w:r>
              <w:rPr>
                <w:rFonts w:ascii="游ゴシック" w:hAnsi="游ゴシック" w:eastAsia="游ゴシック"/>
                <w:b w:val="0"/>
                <w:sz w:val="18"/>
              </w:rPr>
              <w:t>J÷収納率÷補正人数÷12</w:t>
            </w:r>
          </w:p>
        </w:tc>
        <w:tc>
          <w:tcPr>
            <w:tcW w:type="dxa" w:w="3288"/>
            <w:vAlign w:val="center"/>
          </w:tcPr>
          <w:p>
            <w:pPr>
              <w:keepNext/>
              <w:spacing w:after="0"/>
            </w:pPr>
            <w:r>
              <w:rPr>
                <w:rFonts w:ascii="游ゴシック" w:hAnsi="游ゴシック" w:eastAsia="游ゴシック"/>
                <w:b/>
                <w:sz w:val="18"/>
              </w:rPr>
              <w:t>6,438円</w:t>
            </w:r>
          </w:p>
        </w:tc>
      </w:tr>
      <w:tr>
        <w:trPr>
          <w:cantSplit/>
        </w:trPr>
        <w:tc>
          <w:tcPr>
            <w:tcW w:type="dxa" w:w="3402"/>
            <w:shd w:val="clear" w:color="auto" w:fill="F2F5FA"/>
            <w:vAlign w:val="center"/>
          </w:tcPr>
          <w:p>
            <w:pPr>
              <w:spacing w:after="0"/>
            </w:pPr>
            <w:r>
              <w:rPr>
                <w:rFonts w:ascii="游ゴシック" w:hAnsi="游ゴシック" w:eastAsia="游ゴシック"/>
                <w:b/>
                <w:sz w:val="18"/>
              </w:rPr>
              <w:t>採用する月額基準額</w:t>
            </w:r>
          </w:p>
        </w:tc>
        <w:tc>
          <w:tcPr>
            <w:tcW w:type="dxa" w:w="3061"/>
            <w:shd w:val="clear" w:color="auto" w:fill="F2F5FA"/>
            <w:vAlign w:val="center"/>
          </w:tcPr>
          <w:p>
            <w:pPr>
              <w:spacing w:after="0"/>
            </w:pPr>
            <w:r>
              <w:rPr>
                <w:rFonts w:ascii="游ゴシック" w:hAnsi="游ゴシック" w:eastAsia="游ゴシック"/>
                <w:b w:val="0"/>
                <w:sz w:val="18"/>
              </w:rPr>
              <w:t>条例・計画案</w:t>
            </w:r>
          </w:p>
        </w:tc>
        <w:tc>
          <w:tcPr>
            <w:tcW w:type="dxa" w:w="3288"/>
            <w:shd w:val="clear" w:color="auto" w:fill="F2F5FA"/>
            <w:vAlign w:val="center"/>
          </w:tcPr>
          <w:p>
            <w:pPr>
              <w:spacing w:after="0"/>
            </w:pPr>
            <w:r>
              <w:rPr>
                <w:rFonts w:ascii="游ゴシック" w:hAnsi="游ゴシック" w:eastAsia="游ゴシック"/>
                <w:b/>
                <w:sz w:val="18"/>
              </w:rPr>
              <w:t>［要協議］</w:t>
            </w:r>
          </w:p>
        </w:tc>
      </w:tr>
    </w:tbl>
    <w:p>
      <w:pPr>
        <w:spacing w:after="80"/>
      </w:pPr>
      <w:r>
        <w:rPr>
          <w:rFonts w:ascii="游ゴシック" w:hAnsi="游ゴシック" w:eastAsia="游ゴシック"/>
          <w:b w:val="0"/>
          <w:sz w:val="17"/>
        </w:rPr>
        <w:t>資料：サービス見込量の算定（第1次概算）、将来推計 第3段階</w:t>
      </w:r>
    </w:p>
    <w:p>
      <w:pPr>
        <w:spacing w:after="80"/>
      </w:pPr>
      <w:r>
        <w:rPr>
          <w:rFonts w:ascii="游ゴシック" w:hAnsi="游ゴシック" w:eastAsia="游ゴシック"/>
          <w:b w:val="0"/>
          <w:sz w:val="20"/>
        </w:rPr>
        <w:t>算定上の月額基準額6,438円は、百円未満を四捨五入すると</w:t>
      </w:r>
      <w:r>
        <w:rPr>
          <w:rFonts w:ascii="游ゴシック" w:hAnsi="游ゴシック" w:eastAsia="游ゴシック"/>
          <w:b/>
          <w:sz w:val="20"/>
        </w:rPr>
        <w:t>6,400円</w:t>
      </w:r>
      <w:r>
        <w:rPr>
          <w:rFonts w:ascii="游ゴシック" w:hAnsi="游ゴシック" w:eastAsia="游ゴシック"/>
          <w:b w:val="0"/>
          <w:sz w:val="20"/>
        </w:rPr>
        <w:t>となり、第9期の基準額6,400円と同額になります。第9期の算定上の月額基準額は6,428円でした。</w:t>
      </w:r>
    </w:p>
    <w:p>
      <w:pPr>
        <w:ind w:left="227"/>
      </w:pPr>
      <w:r>
        <w:rPr>
          <w:rFonts w:ascii="游ゴシック" w:hAnsi="游ゴシック" w:eastAsia="游ゴシック"/>
          <w:b w:val="0"/>
          <w:sz w:val="18"/>
        </w:rPr>
        <w:t>※ 暫定の算定です。第10期の第1号被保険者負担割合、介護報酬改定率、令和7年度末の基金残高、所得段階の政令改正及びサービス見込量の採用値が確定するまでは、条例で定める基準額の算定には用いられません。財政安定化基金拠出金・償還金等（F・G・H）は当広域連合ではいずれも0です。</w:t>
      </w:r>
    </w:p>
    <w:p>
      <w:pPr>
        <w:keepNext/>
        <w:pageBreakBefore w:val="0"/>
        <w:spacing w:before="280" w:after="120"/>
      </w:pPr>
      <w:r>
        <w:rPr>
          <w:rFonts w:ascii="游ゴシック" w:hAnsi="游ゴシック" w:eastAsia="游ゴシック"/>
          <w:b/>
          <w:color w:val="1F3864"/>
          <w:sz w:val="26"/>
        </w:rPr>
        <w:t>第4節　保険料の月額を動かす前提</w:t>
      </w:r>
    </w:p>
    <w:p>
      <w:pPr>
        <w:spacing w:after="80"/>
      </w:pPr>
      <w:r>
        <w:rPr>
          <w:rFonts w:ascii="游ゴシック" w:hAnsi="游ゴシック" w:eastAsia="游ゴシック"/>
          <w:b w:val="0"/>
          <w:sz w:val="20"/>
        </w:rPr>
        <w:t>算定上の月額基準額を動かす前提を、国の告示・公布によるものと広域連合のご判断によるものに分けて掲げます。</w:t>
      </w:r>
      <w:r>
        <w:rPr>
          <w:rFonts w:ascii="游ゴシック" w:hAnsi="游ゴシック" w:eastAsia="游ゴシック"/>
          <w:b/>
          <w:sz w:val="20"/>
        </w:rPr>
        <w:t>いずれも当方の算定には織り込んでいません。</w:t>
      </w:r>
    </w:p>
    <w:p>
      <w:pPr>
        <w:keepNext/>
        <w:spacing w:before="160" w:after="40"/>
      </w:pPr>
      <w:r>
        <w:rPr>
          <w:rFonts w:ascii="游ゴシック" w:hAnsi="游ゴシック" w:eastAsia="游ゴシック"/>
          <w:b/>
          <w:sz w:val="20"/>
        </w:rPr>
        <w:t>表9　月額基準額を動かす前提　8件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587"/>
            <w:shd w:val="clear" w:color="auto" w:fill="1F3864"/>
            <w:vAlign w:val="center"/>
          </w:tcPr>
          <w:p>
            <w:pPr>
              <w:keepNext/>
              <w:spacing w:after="0"/>
              <w:jc w:val="center"/>
            </w:pPr>
            <w:r>
              <w:rPr>
                <w:rFonts w:ascii="游ゴシック" w:hAnsi="游ゴシック" w:eastAsia="游ゴシック"/>
                <w:b/>
                <w:color w:val="FFFFFF"/>
                <w:sz w:val="18"/>
              </w:rPr>
              <w:t>出どころ</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事項</w:t>
            </w:r>
          </w:p>
        </w:tc>
        <w:tc>
          <w:tcPr>
            <w:tcW w:type="dxa" w:w="3515"/>
            <w:shd w:val="clear" w:color="auto" w:fill="1F3864"/>
            <w:vAlign w:val="center"/>
          </w:tcPr>
          <w:p>
            <w:pPr>
              <w:keepNext/>
              <w:spacing w:after="0"/>
              <w:jc w:val="center"/>
            </w:pPr>
            <w:r>
              <w:rPr>
                <w:rFonts w:ascii="游ゴシック" w:hAnsi="游ゴシック" w:eastAsia="游ゴシック"/>
                <w:b/>
                <w:color w:val="FFFFFF"/>
                <w:sz w:val="18"/>
              </w:rPr>
              <w:t>当方の置き方</w:t>
            </w:r>
          </w:p>
        </w:tc>
        <w:tc>
          <w:tcPr>
            <w:tcW w:type="dxa" w:w="2721"/>
            <w:shd w:val="clear" w:color="auto" w:fill="1F3864"/>
            <w:vAlign w:val="center"/>
          </w:tcPr>
          <w:p>
            <w:pPr>
              <w:keepNext/>
              <w:spacing w:after="0"/>
              <w:jc w:val="center"/>
            </w:pPr>
            <w:r>
              <w:rPr>
                <w:rFonts w:ascii="游ゴシック" w:hAnsi="游ゴシック" w:eastAsia="游ゴシック"/>
                <w:b/>
                <w:color w:val="FFFFFF"/>
                <w:sz w:val="18"/>
              </w:rPr>
              <w:t>月額への効き</w:t>
            </w:r>
          </w:p>
        </w:tc>
      </w:tr>
      <w:tr>
        <w:trPr>
          <w:cantSplit/>
        </w:trPr>
        <w:tc>
          <w:tcPr>
            <w:tcW w:type="dxa" w:w="1587"/>
            <w:vAlign w:val="center"/>
          </w:tcPr>
          <w:p>
            <w:pPr>
              <w:keepNext/>
              <w:spacing w:after="0"/>
            </w:pPr>
            <w:r>
              <w:rPr>
                <w:rFonts w:ascii="游ゴシック" w:hAnsi="游ゴシック" w:eastAsia="游ゴシック"/>
                <w:b w:val="0"/>
                <w:sz w:val="18"/>
              </w:rPr>
              <w:t>国の告示・公布</w:t>
            </w:r>
          </w:p>
        </w:tc>
        <w:tc>
          <w:tcPr>
            <w:tcW w:type="dxa" w:w="1928"/>
            <w:vAlign w:val="center"/>
          </w:tcPr>
          <w:p>
            <w:pPr>
              <w:keepNext/>
              <w:spacing w:after="0"/>
            </w:pPr>
            <w:r>
              <w:rPr>
                <w:rFonts w:ascii="游ゴシック" w:hAnsi="游ゴシック" w:eastAsia="游ゴシック"/>
                <w:b w:val="0"/>
                <w:sz w:val="18"/>
              </w:rPr>
              <w:t>1人あたり給付費（単価）</w:t>
            </w:r>
          </w:p>
        </w:tc>
        <w:tc>
          <w:tcPr>
            <w:tcW w:type="dxa" w:w="3515"/>
            <w:vAlign w:val="center"/>
          </w:tcPr>
          <w:p>
            <w:pPr>
              <w:keepNext/>
              <w:spacing w:after="0"/>
            </w:pPr>
            <w:r>
              <w:rPr>
                <w:rFonts w:ascii="游ゴシック" w:hAnsi="游ゴシック" w:eastAsia="游ゴシック"/>
                <w:b w:val="0"/>
                <w:sz w:val="18"/>
              </w:rPr>
              <w:t>令和7年度の実績単価で固定した。改定率を乗じた場合の感度をサービス見込量の算定に示した</w:t>
            </w:r>
          </w:p>
        </w:tc>
        <w:tc>
          <w:tcPr>
            <w:tcW w:type="dxa" w:w="2721"/>
            <w:vAlign w:val="center"/>
          </w:tcPr>
          <w:p>
            <w:pPr>
              <w:keepNext/>
              <w:spacing w:after="0"/>
            </w:pPr>
            <w:r>
              <w:rPr>
                <w:rFonts w:ascii="游ゴシック" w:hAnsi="游ゴシック" w:eastAsia="游ゴシック"/>
                <w:b/>
                <w:sz w:val="18"/>
              </w:rPr>
              <w:t>改定率1％あたり月額＋61円。単価の年率1.75％の伸びを見込まないことは月額＋245円〜＋327円に当たる</w:t>
            </w:r>
          </w:p>
        </w:tc>
      </w:tr>
      <w:tr>
        <w:trPr>
          <w:cantSplit/>
        </w:trPr>
        <w:tc>
          <w:tcPr>
            <w:tcW w:type="dxa" w:w="1587"/>
            <w:shd w:val="clear" w:color="auto" w:fill="F2F5FA"/>
            <w:vAlign w:val="center"/>
          </w:tcPr>
          <w:p>
            <w:pPr>
              <w:keepNext/>
              <w:spacing w:after="0"/>
            </w:pPr>
            <w:r>
              <w:rPr>
                <w:rFonts w:ascii="游ゴシック" w:hAnsi="游ゴシック" w:eastAsia="游ゴシック"/>
                <w:b w:val="0"/>
                <w:sz w:val="18"/>
              </w:rPr>
              <w:t>国の告示・公布</w:t>
            </w:r>
          </w:p>
        </w:tc>
        <w:tc>
          <w:tcPr>
            <w:tcW w:type="dxa" w:w="1928"/>
            <w:shd w:val="clear" w:color="auto" w:fill="F2F5FA"/>
            <w:vAlign w:val="center"/>
          </w:tcPr>
          <w:p>
            <w:pPr>
              <w:keepNext/>
              <w:spacing w:after="0"/>
            </w:pPr>
            <w:r>
              <w:rPr>
                <w:rFonts w:ascii="游ゴシック" w:hAnsi="游ゴシック" w:eastAsia="游ゴシック"/>
                <w:b w:val="0"/>
                <w:sz w:val="18"/>
              </w:rPr>
              <w:t>第1号被保険者負担割合</w:t>
            </w:r>
          </w:p>
        </w:tc>
        <w:tc>
          <w:tcPr>
            <w:tcW w:type="dxa" w:w="3515"/>
            <w:shd w:val="clear" w:color="auto" w:fill="F2F5FA"/>
            <w:vAlign w:val="center"/>
          </w:tcPr>
          <w:p>
            <w:pPr>
              <w:keepNext/>
              <w:spacing w:after="0"/>
            </w:pPr>
            <w:r>
              <w:rPr>
                <w:rFonts w:ascii="游ゴシック" w:hAnsi="游ゴシック" w:eastAsia="游ゴシック"/>
                <w:b w:val="0"/>
                <w:sz w:val="18"/>
              </w:rPr>
              <w:t>第9期と同じ23％で置いた</w:t>
            </w:r>
          </w:p>
        </w:tc>
        <w:tc>
          <w:tcPr>
            <w:tcW w:type="dxa" w:w="2721"/>
            <w:shd w:val="clear" w:color="auto" w:fill="F2F5FA"/>
            <w:vAlign w:val="center"/>
          </w:tcPr>
          <w:p>
            <w:pPr>
              <w:keepNext/>
              <w:spacing w:after="0"/>
            </w:pPr>
            <w:r>
              <w:rPr>
                <w:rFonts w:ascii="游ゴシック" w:hAnsi="游ゴシック" w:eastAsia="游ゴシック"/>
                <w:b/>
                <w:sz w:val="18"/>
              </w:rPr>
              <w:t>1ポイントの違いで月額が約290円動く</w:t>
            </w:r>
          </w:p>
        </w:tc>
      </w:tr>
      <w:tr>
        <w:trPr>
          <w:cantSplit/>
        </w:trPr>
        <w:tc>
          <w:tcPr>
            <w:tcW w:type="dxa" w:w="1587"/>
            <w:vAlign w:val="center"/>
          </w:tcPr>
          <w:p>
            <w:pPr>
              <w:keepNext/>
              <w:spacing w:after="0"/>
            </w:pPr>
            <w:r>
              <w:rPr>
                <w:rFonts w:ascii="游ゴシック" w:hAnsi="游ゴシック" w:eastAsia="游ゴシック"/>
                <w:b w:val="0"/>
                <w:sz w:val="18"/>
              </w:rPr>
              <w:t>広域連合のご判断・資料</w:t>
            </w:r>
          </w:p>
        </w:tc>
        <w:tc>
          <w:tcPr>
            <w:tcW w:type="dxa" w:w="1928"/>
            <w:vAlign w:val="center"/>
          </w:tcPr>
          <w:p>
            <w:pPr>
              <w:keepNext/>
              <w:spacing w:after="0"/>
            </w:pPr>
            <w:r>
              <w:rPr>
                <w:rFonts w:ascii="游ゴシック" w:hAnsi="游ゴシック" w:eastAsia="游ゴシック"/>
                <w:b w:val="0"/>
                <w:sz w:val="18"/>
              </w:rPr>
              <w:t>総合事業費</w:t>
            </w:r>
          </w:p>
        </w:tc>
        <w:tc>
          <w:tcPr>
            <w:tcW w:type="dxa" w:w="3515"/>
            <w:vAlign w:val="center"/>
          </w:tcPr>
          <w:p>
            <w:pPr>
              <w:keepNext/>
              <w:spacing w:after="0"/>
            </w:pPr>
            <w:r>
              <w:rPr>
                <w:rFonts w:ascii="游ゴシック" w:hAnsi="游ゴシック" w:eastAsia="游ゴシック"/>
                <w:b w:val="0"/>
                <w:sz w:val="18"/>
              </w:rPr>
              <w:t>令和6年度の計画作成支援ツールの値（3町計107,129,318円）を3年据え置いた</w:t>
            </w:r>
          </w:p>
        </w:tc>
        <w:tc>
          <w:tcPr>
            <w:tcW w:type="dxa" w:w="2721"/>
            <w:vAlign w:val="center"/>
          </w:tcPr>
          <w:p>
            <w:pPr>
              <w:keepNext/>
              <w:spacing w:after="0"/>
            </w:pPr>
            <w:r>
              <w:rPr>
                <w:rFonts w:ascii="游ゴシック" w:hAnsi="游ゴシック" w:eastAsia="游ゴシック"/>
                <w:b/>
                <w:sz w:val="18"/>
              </w:rPr>
              <w:t>調整交付金の算定基礎に入る。差5,854,697円で月額約▲7円</w:t>
            </w:r>
          </w:p>
        </w:tc>
      </w:tr>
      <w:tr>
        <w:trPr>
          <w:cantSplit/>
        </w:trPr>
        <w:tc>
          <w:tcPr>
            <w:tcW w:type="dxa" w:w="1587"/>
            <w:shd w:val="clear" w:color="auto" w:fill="F2F5FA"/>
            <w:vAlign w:val="center"/>
          </w:tcPr>
          <w:p>
            <w:pPr>
              <w:keepNext/>
              <w:spacing w:after="0"/>
            </w:pPr>
            <w:r>
              <w:rPr>
                <w:rFonts w:ascii="游ゴシック" w:hAnsi="游ゴシック" w:eastAsia="游ゴシック"/>
                <w:b w:val="0"/>
                <w:sz w:val="18"/>
              </w:rPr>
              <w:t>広域連合のご判断・資料</w:t>
            </w:r>
          </w:p>
        </w:tc>
        <w:tc>
          <w:tcPr>
            <w:tcW w:type="dxa" w:w="1928"/>
            <w:shd w:val="clear" w:color="auto" w:fill="F2F5FA"/>
            <w:vAlign w:val="center"/>
          </w:tcPr>
          <w:p>
            <w:pPr>
              <w:keepNext/>
              <w:spacing w:after="0"/>
            </w:pPr>
            <w:r>
              <w:rPr>
                <w:rFonts w:ascii="游ゴシック" w:hAnsi="游ゴシック" w:eastAsia="游ゴシック"/>
                <w:b w:val="0"/>
                <w:sz w:val="18"/>
              </w:rPr>
              <w:t>対計画比の偏りの補正</w:t>
            </w:r>
          </w:p>
        </w:tc>
        <w:tc>
          <w:tcPr>
            <w:tcW w:type="dxa" w:w="3515"/>
            <w:shd w:val="clear" w:color="auto" w:fill="F2F5FA"/>
            <w:vAlign w:val="center"/>
          </w:tcPr>
          <w:p>
            <w:pPr>
              <w:keepNext/>
              <w:spacing w:after="0"/>
            </w:pPr>
            <w:r>
              <w:rPr>
                <w:rFonts w:ascii="游ゴシック" w:hAnsi="游ゴシック" w:eastAsia="游ゴシック"/>
                <w:b w:val="0"/>
                <w:sz w:val="18"/>
              </w:rPr>
              <w:t>補正を行わない（一律の伸び）。見込量はサービス別の伸びの差を織り込んでいない</w:t>
            </w:r>
          </w:p>
        </w:tc>
        <w:tc>
          <w:tcPr>
            <w:tcW w:type="dxa" w:w="2721"/>
            <w:shd w:val="clear" w:color="auto" w:fill="F2F5FA"/>
            <w:vAlign w:val="center"/>
          </w:tcPr>
          <w:p>
            <w:pPr>
              <w:keepNext/>
              <w:spacing w:after="0"/>
            </w:pPr>
            <w:r>
              <w:rPr>
                <w:rFonts w:ascii="游ゴシック" w:hAnsi="游ゴシック" w:eastAsia="游ゴシック"/>
                <w:b/>
                <w:sz w:val="18"/>
              </w:rPr>
              <w:t>補正のみで月額▲58円、施設・居住系を減らさない条件を加えると＋48円</w:t>
            </w:r>
          </w:p>
        </w:tc>
      </w:tr>
      <w:tr>
        <w:trPr>
          <w:cantSplit/>
        </w:trPr>
        <w:tc>
          <w:tcPr>
            <w:tcW w:type="dxa" w:w="1587"/>
            <w:vAlign w:val="center"/>
          </w:tcPr>
          <w:p>
            <w:pPr>
              <w:keepNext/>
              <w:spacing w:after="0"/>
            </w:pPr>
            <w:r>
              <w:rPr>
                <w:rFonts w:ascii="游ゴシック" w:hAnsi="游ゴシック" w:eastAsia="游ゴシック"/>
                <w:b w:val="0"/>
                <w:sz w:val="18"/>
              </w:rPr>
              <w:t>広域連合のご判断・資料</w:t>
            </w:r>
          </w:p>
        </w:tc>
        <w:tc>
          <w:tcPr>
            <w:tcW w:type="dxa" w:w="1928"/>
            <w:vAlign w:val="center"/>
          </w:tcPr>
          <w:p>
            <w:pPr>
              <w:keepNext/>
              <w:spacing w:after="0"/>
            </w:pPr>
            <w:r>
              <w:rPr>
                <w:rFonts w:ascii="游ゴシック" w:hAnsi="游ゴシック" w:eastAsia="游ゴシック"/>
                <w:b w:val="0"/>
                <w:sz w:val="18"/>
              </w:rPr>
              <w:t>施策の反映</w:t>
            </w:r>
          </w:p>
        </w:tc>
        <w:tc>
          <w:tcPr>
            <w:tcW w:type="dxa" w:w="3515"/>
            <w:vAlign w:val="center"/>
          </w:tcPr>
          <w:p>
            <w:pPr>
              <w:keepNext/>
              <w:spacing w:after="0"/>
            </w:pPr>
            <w:r>
              <w:rPr>
                <w:rFonts w:ascii="游ゴシック" w:hAnsi="游ゴシック" w:eastAsia="游ゴシック"/>
                <w:b w:val="0"/>
                <w:sz w:val="18"/>
              </w:rPr>
              <w:t>施策による見込量の増減を織り込まない（自然体）</w:t>
            </w:r>
          </w:p>
        </w:tc>
        <w:tc>
          <w:tcPr>
            <w:tcW w:type="dxa" w:w="2721"/>
            <w:vAlign w:val="center"/>
          </w:tcPr>
          <w:p>
            <w:pPr>
              <w:keepNext/>
              <w:spacing w:after="0"/>
            </w:pPr>
            <w:r>
              <w:rPr>
                <w:rFonts w:ascii="游ゴシック" w:hAnsi="游ゴシック" w:eastAsia="游ゴシック"/>
                <w:b/>
                <w:sz w:val="18"/>
              </w:rPr>
              <w:t>数値を置ける施策は定期巡回の整備のみで月額＋2〜＋13円</w:t>
            </w:r>
          </w:p>
        </w:tc>
      </w:tr>
      <w:tr>
        <w:trPr>
          <w:cantSplit/>
        </w:trPr>
        <w:tc>
          <w:tcPr>
            <w:tcW w:type="dxa" w:w="1587"/>
            <w:shd w:val="clear" w:color="auto" w:fill="F2F5FA"/>
            <w:vAlign w:val="center"/>
          </w:tcPr>
          <w:p>
            <w:pPr>
              <w:keepNext/>
              <w:spacing w:after="0"/>
            </w:pPr>
            <w:r>
              <w:rPr>
                <w:rFonts w:ascii="游ゴシック" w:hAnsi="游ゴシック" w:eastAsia="游ゴシック"/>
                <w:b w:val="0"/>
                <w:sz w:val="18"/>
              </w:rPr>
              <w:t>広域連合のご判断・資料</w:t>
            </w:r>
          </w:p>
        </w:tc>
        <w:tc>
          <w:tcPr>
            <w:tcW w:type="dxa" w:w="1928"/>
            <w:shd w:val="clear" w:color="auto" w:fill="F2F5FA"/>
            <w:vAlign w:val="center"/>
          </w:tcPr>
          <w:p>
            <w:pPr>
              <w:keepNext/>
              <w:spacing w:after="0"/>
            </w:pPr>
            <w:r>
              <w:rPr>
                <w:rFonts w:ascii="游ゴシック" w:hAnsi="游ゴシック" w:eastAsia="游ゴシック"/>
                <w:b w:val="0"/>
                <w:sz w:val="18"/>
              </w:rPr>
              <w:t>給付適正化による抑制</w:t>
            </w:r>
          </w:p>
        </w:tc>
        <w:tc>
          <w:tcPr>
            <w:tcW w:type="dxa" w:w="3515"/>
            <w:shd w:val="clear" w:color="auto" w:fill="F2F5FA"/>
            <w:vAlign w:val="center"/>
          </w:tcPr>
          <w:p>
            <w:pPr>
              <w:keepNext/>
              <w:spacing w:after="0"/>
            </w:pPr>
            <w:r>
              <w:rPr>
                <w:rFonts w:ascii="游ゴシック" w:hAnsi="游ゴシック" w:eastAsia="游ゴシック"/>
                <w:b w:val="0"/>
                <w:sz w:val="18"/>
              </w:rPr>
              <w:t>抑制を織り込まない（安全側）</w:t>
            </w:r>
          </w:p>
        </w:tc>
        <w:tc>
          <w:tcPr>
            <w:tcW w:type="dxa" w:w="2721"/>
            <w:shd w:val="clear" w:color="auto" w:fill="F2F5FA"/>
            <w:vAlign w:val="center"/>
          </w:tcPr>
          <w:p>
            <w:pPr>
              <w:keepNext/>
              <w:spacing w:after="0"/>
            </w:pPr>
            <w:r>
              <w:rPr>
                <w:rFonts w:ascii="游ゴシック" w:hAnsi="游ゴシック" w:eastAsia="游ゴシック"/>
                <w:b/>
                <w:sz w:val="18"/>
              </w:rPr>
              <w:t>対象4サービスは総給付費の7.70％。10％抑制でも月額▲47円</w:t>
            </w:r>
          </w:p>
        </w:tc>
      </w:tr>
      <w:tr>
        <w:trPr>
          <w:cantSplit/>
        </w:trPr>
        <w:tc>
          <w:tcPr>
            <w:tcW w:type="dxa" w:w="1587"/>
            <w:vAlign w:val="center"/>
          </w:tcPr>
          <w:p>
            <w:pPr>
              <w:keepNext/>
              <w:spacing w:after="0"/>
            </w:pPr>
            <w:r>
              <w:rPr>
                <w:rFonts w:ascii="游ゴシック" w:hAnsi="游ゴシック" w:eastAsia="游ゴシック"/>
                <w:b w:val="0"/>
                <w:sz w:val="18"/>
              </w:rPr>
              <w:t>広域連合のご判断・資料</w:t>
            </w:r>
          </w:p>
        </w:tc>
        <w:tc>
          <w:tcPr>
            <w:tcW w:type="dxa" w:w="1928"/>
            <w:vAlign w:val="center"/>
          </w:tcPr>
          <w:p>
            <w:pPr>
              <w:keepNext/>
              <w:spacing w:after="0"/>
            </w:pPr>
            <w:r>
              <w:rPr>
                <w:rFonts w:ascii="游ゴシック" w:hAnsi="游ゴシック" w:eastAsia="游ゴシック"/>
                <w:b w:val="0"/>
                <w:sz w:val="18"/>
              </w:rPr>
              <w:t>予定保険料収納率</w:t>
            </w:r>
          </w:p>
        </w:tc>
        <w:tc>
          <w:tcPr>
            <w:tcW w:type="dxa" w:w="3515"/>
            <w:vAlign w:val="center"/>
          </w:tcPr>
          <w:p>
            <w:pPr>
              <w:keepNext/>
              <w:spacing w:after="0"/>
            </w:pPr>
            <w:r>
              <w:rPr>
                <w:rFonts w:ascii="游ゴシック" w:hAnsi="游ゴシック" w:eastAsia="游ゴシック"/>
                <w:b w:val="0"/>
                <w:sz w:val="18"/>
              </w:rPr>
              <w:t>第9期と同じ99.0％で置いた</w:t>
            </w:r>
          </w:p>
        </w:tc>
        <w:tc>
          <w:tcPr>
            <w:tcW w:type="dxa" w:w="2721"/>
            <w:vAlign w:val="center"/>
          </w:tcPr>
          <w:p>
            <w:pPr>
              <w:keepNext/>
              <w:spacing w:after="0"/>
            </w:pPr>
            <w:r>
              <w:rPr>
                <w:rFonts w:ascii="游ゴシック" w:hAnsi="游ゴシック" w:eastAsia="游ゴシック"/>
                <w:b/>
                <w:sz w:val="18"/>
              </w:rPr>
              <w:t>0.1ポイントで月額約6円</w:t>
            </w:r>
          </w:p>
        </w:tc>
      </w:tr>
      <w:tr>
        <w:trPr>
          <w:cantSplit/>
        </w:trPr>
        <w:tc>
          <w:tcPr>
            <w:tcW w:type="dxa" w:w="1587"/>
            <w:shd w:val="clear" w:color="auto" w:fill="F2F5FA"/>
            <w:vAlign w:val="center"/>
          </w:tcPr>
          <w:p>
            <w:pPr>
              <w:spacing w:after="0"/>
            </w:pPr>
            <w:r>
              <w:rPr>
                <w:rFonts w:ascii="游ゴシック" w:hAnsi="游ゴシック" w:eastAsia="游ゴシック"/>
                <w:b w:val="0"/>
                <w:sz w:val="18"/>
              </w:rPr>
              <w:t>広域連合のご判断・資料</w:t>
            </w:r>
          </w:p>
        </w:tc>
        <w:tc>
          <w:tcPr>
            <w:tcW w:type="dxa" w:w="1928"/>
            <w:shd w:val="clear" w:color="auto" w:fill="F2F5FA"/>
            <w:vAlign w:val="center"/>
          </w:tcPr>
          <w:p>
            <w:pPr>
              <w:spacing w:after="0"/>
            </w:pPr>
            <w:r>
              <w:rPr>
                <w:rFonts w:ascii="游ゴシック" w:hAnsi="游ゴシック" w:eastAsia="游ゴシック"/>
                <w:b w:val="0"/>
                <w:sz w:val="18"/>
              </w:rPr>
              <w:t>基金の取崩し</w:t>
            </w:r>
          </w:p>
        </w:tc>
        <w:tc>
          <w:tcPr>
            <w:tcW w:type="dxa" w:w="3515"/>
            <w:shd w:val="clear" w:color="auto" w:fill="F2F5FA"/>
            <w:vAlign w:val="center"/>
          </w:tcPr>
          <w:p>
            <w:pPr>
              <w:spacing w:after="0"/>
            </w:pPr>
            <w:r>
              <w:rPr>
                <w:rFonts w:ascii="游ゴシック" w:hAnsi="游ゴシック" w:eastAsia="游ゴシック"/>
                <w:b w:val="0"/>
                <w:sz w:val="18"/>
              </w:rPr>
              <w:t>取崩しを行わない（I＝0）</w:t>
            </w:r>
          </w:p>
        </w:tc>
        <w:tc>
          <w:tcPr>
            <w:tcW w:type="dxa" w:w="2721"/>
            <w:shd w:val="clear" w:color="auto" w:fill="F2F5FA"/>
            <w:vAlign w:val="center"/>
          </w:tcPr>
          <w:p>
            <w:pPr>
              <w:spacing w:after="0"/>
            </w:pPr>
            <w:r>
              <w:rPr>
                <w:rFonts w:ascii="游ゴシック" w:hAnsi="游ゴシック" w:eastAsia="游ゴシック"/>
                <w:b/>
                <w:sz w:val="18"/>
              </w:rPr>
              <w:t>1億円の取崩しで月額約▲310円</w:t>
            </w:r>
          </w:p>
        </w:tc>
      </w:tr>
    </w:tbl>
    <w:p>
      <w:pPr>
        <w:spacing w:after="80"/>
      </w:pPr>
      <w:r>
        <w:rPr>
          <w:rFonts w:ascii="游ゴシック" w:hAnsi="游ゴシック" w:eastAsia="游ゴシック"/>
          <w:b w:val="0"/>
          <w:sz w:val="17"/>
        </w:rPr>
        <w:t>資料：サービス見込量の算定（第1次概算）、対計画比の偏りの補正試算</w:t>
      </w:r>
    </w:p>
    <w:p>
      <w:pPr>
        <w:spacing w:after="80"/>
      </w:pPr>
      <w:r>
        <w:rPr>
          <w:rFonts w:ascii="游ゴシック" w:hAnsi="游ゴシック" w:eastAsia="游ゴシック"/>
          <w:b w:val="0"/>
          <w:sz w:val="20"/>
        </w:rPr>
        <w:t>介護報酬改定率は1％当たり月額＋61円です。令和9年度は改定の年に当たり、加えて令和9年度改定を待たず令和8年度にも改定が行われることとされています。基準年度である令和7年度の単価には令和8年度改定が反映されていないため、</w:t>
      </w:r>
      <w:r>
        <w:rPr>
          <w:rFonts w:ascii="游ゴシック" w:hAnsi="游ゴシック" w:eastAsia="游ゴシック"/>
          <w:b/>
          <w:sz w:val="20"/>
        </w:rPr>
        <w:t>単価を令和7年度で固定することは2回分の改定を織り込んでいません。</w:t>
      </w:r>
    </w:p>
    <w:p>
      <w:pPr>
        <w:spacing w:after="80"/>
      </w:pPr>
      <w:r>
        <w:rPr>
          <w:rFonts w:ascii="游ゴシック" w:hAnsi="游ゴシック" w:eastAsia="游ゴシック"/>
          <w:b/>
          <w:sz w:val="20"/>
        </w:rPr>
        <w:t>上向きに働くものの多くは国の告示・公布によるもので、資料のご提供とは関わりなく生じます。下向きに働くものはいずれも織り込んでいません。</w:t>
      </w:r>
      <w:r>
        <w:rPr>
          <w:rFonts w:ascii="游ゴシック" w:hAnsi="游ゴシック" w:eastAsia="游ゴシック"/>
          <w:b w:val="0"/>
          <w:sz w:val="20"/>
        </w:rPr>
        <w:t xml:space="preserve"> したがって現在の算定は、保険料が低く出る側に偏っています。</w:t>
      </w:r>
    </w:p>
    <w:p>
      <w:pPr>
        <w:ind w:left="227"/>
      </w:pPr>
      <w:r>
        <w:rPr>
          <w:rFonts w:ascii="游ゴシック" w:hAnsi="游ゴシック" w:eastAsia="游ゴシック"/>
          <w:b w:val="0"/>
          <w:sz w:val="18"/>
        </w:rPr>
        <w:t>※ 各欄は、当方の算定から当該の前提のみを動かした場合の値です。複数を同時に動かした場合の値ではありません。改定率を乗じることと単価の趨勢を延ばすことを重ねると二重になります。</w:t>
      </w:r>
    </w:p>
    <w:p>
      <w:pPr>
        <w:keepNext/>
        <w:pageBreakBefore/>
        <w:spacing w:before="0" w:after="120"/>
      </w:pPr>
      <w:r>
        <w:rPr>
          <w:rFonts w:ascii="游ゴシック" w:hAnsi="游ゴシック" w:eastAsia="游ゴシック"/>
          <w:b/>
          <w:color w:val="1F3864"/>
          <w:sz w:val="26"/>
        </w:rPr>
        <w:t>第5節　地域の課題</w:t>
      </w:r>
    </w:p>
    <w:p>
      <w:pPr>
        <w:spacing w:after="80"/>
      </w:pPr>
      <w:r>
        <w:rPr>
          <w:rFonts w:ascii="游ゴシック" w:hAnsi="游ゴシック" w:eastAsia="游ゴシック"/>
          <w:b w:val="0"/>
          <w:sz w:val="21"/>
        </w:rPr>
        <w:t>第10期計画に載せる地域の課題です。根拠となる数値と計画本文の反映先を対にして掲げています。「町の別」が「町で分かれる」「○○町」のものは、町ごとの個別協議でも扱います。</w:t>
      </w:r>
    </w:p>
    <w:p>
      <w:pPr>
        <w:keepNext/>
        <w:spacing w:before="160" w:after="40"/>
      </w:pPr>
      <w:r>
        <w:rPr>
          <w:rFonts w:ascii="游ゴシック" w:hAnsi="游ゴシック" w:eastAsia="游ゴシック"/>
          <w:b/>
          <w:sz w:val="20"/>
        </w:rPr>
        <w:t>表10　地域の課題　15件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567"/>
            <w:shd w:val="clear" w:color="auto" w:fill="1F3864"/>
            <w:vAlign w:val="center"/>
          </w:tcPr>
          <w:p>
            <w:pPr>
              <w:spacing w:after="0"/>
              <w:jc w:val="center"/>
            </w:pPr>
            <w:r>
              <w:rPr>
                <w:rFonts w:ascii="游ゴシック" w:hAnsi="游ゴシック" w:eastAsia="游ゴシック"/>
                <w:b/>
                <w:color w:val="FFFFFF"/>
                <w:sz w:val="18"/>
              </w:rPr>
              <w:t>No.</w:t>
            </w:r>
          </w:p>
        </w:tc>
        <w:tc>
          <w:tcPr>
            <w:tcW w:type="dxa" w:w="2494"/>
            <w:shd w:val="clear" w:color="auto" w:fill="1F3864"/>
            <w:vAlign w:val="center"/>
          </w:tcPr>
          <w:p>
            <w:pPr>
              <w:spacing w:after="0"/>
              <w:jc w:val="center"/>
            </w:pPr>
            <w:r>
              <w:rPr>
                <w:rFonts w:ascii="游ゴシック" w:hAnsi="游ゴシック" w:eastAsia="游ゴシック"/>
                <w:b/>
                <w:color w:val="FFFFFF"/>
                <w:sz w:val="18"/>
              </w:rPr>
              <w:t>地域の課題</w:t>
            </w:r>
          </w:p>
        </w:tc>
        <w:tc>
          <w:tcPr>
            <w:tcW w:type="dxa" w:w="5102"/>
            <w:shd w:val="clear" w:color="auto" w:fill="1F3864"/>
            <w:vAlign w:val="center"/>
          </w:tcPr>
          <w:p>
            <w:pPr>
              <w:spacing w:after="0"/>
              <w:jc w:val="center"/>
            </w:pPr>
            <w:r>
              <w:rPr>
                <w:rFonts w:ascii="游ゴシック" w:hAnsi="游ゴシック" w:eastAsia="游ゴシック"/>
                <w:b/>
                <w:color w:val="FFFFFF"/>
                <w:sz w:val="18"/>
              </w:rPr>
              <w:t>根拠となる事実（数値）</w:t>
            </w:r>
          </w:p>
        </w:tc>
        <w:tc>
          <w:tcPr>
            <w:tcW w:type="dxa" w:w="1587"/>
            <w:shd w:val="clear" w:color="auto" w:fill="1F3864"/>
            <w:vAlign w:val="center"/>
          </w:tcPr>
          <w:p>
            <w:pPr>
              <w:spacing w:after="0"/>
              <w:jc w:val="center"/>
            </w:pPr>
            <w:r>
              <w:rPr>
                <w:rFonts w:ascii="游ゴシック" w:hAnsi="游ゴシック" w:eastAsia="游ゴシック"/>
                <w:b/>
                <w:color w:val="FFFFFF"/>
                <w:sz w:val="18"/>
              </w:rPr>
              <w:t>町の別</w:t>
            </w:r>
          </w:p>
        </w:tc>
      </w:tr>
      <w:tr>
        <w:trPr>
          <w:cantSplit/>
        </w:trPr>
        <w:tc>
          <w:tcPr>
            <w:tcW w:type="dxa" w:w="567"/>
            <w:vAlign w:val="center"/>
          </w:tcPr>
          <w:p>
            <w:pPr>
              <w:spacing w:after="0"/>
              <w:jc w:val="center"/>
            </w:pPr>
            <w:r>
              <w:rPr>
                <w:rFonts w:ascii="游ゴシック" w:hAnsi="游ゴシック" w:eastAsia="游ゴシック"/>
                <w:b w:val="0"/>
                <w:sz w:val="18"/>
              </w:rPr>
              <w:t>1</w:t>
            </w:r>
          </w:p>
        </w:tc>
        <w:tc>
          <w:tcPr>
            <w:tcW w:type="dxa" w:w="2494"/>
            <w:vAlign w:val="center"/>
          </w:tcPr>
          <w:p>
            <w:pPr>
              <w:spacing w:after="0"/>
            </w:pPr>
            <w:r>
              <w:rPr>
                <w:rFonts w:ascii="游ゴシック" w:hAnsi="游ゴシック" w:eastAsia="游ゴシック"/>
                <w:b w:val="0"/>
                <w:sz w:val="18"/>
              </w:rPr>
              <w:t>高齢者数は横ばいだが、85歳以上が増える</w:t>
            </w:r>
          </w:p>
        </w:tc>
        <w:tc>
          <w:tcPr>
            <w:tcW w:type="dxa" w:w="5102"/>
            <w:vAlign w:val="center"/>
          </w:tcPr>
          <w:p>
            <w:pPr>
              <w:spacing w:after="0"/>
            </w:pPr>
            <w:r>
              <w:rPr>
                <w:rFonts w:ascii="游ゴシック" w:hAnsi="游ゴシック" w:eastAsia="游ゴシック"/>
                <w:b w:val="0"/>
                <w:sz w:val="18"/>
              </w:rPr>
              <w:t>3町計の65歳以上は令和元年9,146人から令和7年9,232人（年＋0.16％）でほぼ横ばいであるのに対し、85歳以上は1,743人から1,960人（年＋1.97％）で増えています。</w:t>
            </w:r>
          </w:p>
        </w:tc>
        <w:tc>
          <w:tcPr>
            <w:tcW w:type="dxa" w:w="1587"/>
            <w:vAlign w:val="center"/>
          </w:tcPr>
          <w:p>
            <w:pPr>
              <w:spacing w:after="0"/>
            </w:pPr>
            <w:r>
              <w:rPr>
                <w:rFonts w:ascii="游ゴシック" w:hAnsi="游ゴシック" w:eastAsia="游ゴシック"/>
                <w:b w:val="0"/>
                <w:sz w:val="18"/>
              </w:rPr>
              <w:t>3町共通</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2</w:t>
            </w:r>
          </w:p>
        </w:tc>
        <w:tc>
          <w:tcPr>
            <w:tcW w:type="dxa" w:w="2494"/>
            <w:shd w:val="clear" w:color="auto" w:fill="F2F5FA"/>
            <w:vAlign w:val="center"/>
          </w:tcPr>
          <w:p>
            <w:pPr>
              <w:spacing w:after="0"/>
            </w:pPr>
            <w:r>
              <w:rPr>
                <w:rFonts w:ascii="游ゴシック" w:hAnsi="游ゴシック" w:eastAsia="游ゴシック"/>
                <w:b w:val="0"/>
                <w:sz w:val="18"/>
              </w:rPr>
              <w:t>認定者数の動きが町で分かれる</w:t>
            </w:r>
          </w:p>
        </w:tc>
        <w:tc>
          <w:tcPr>
            <w:tcW w:type="dxa" w:w="5102"/>
            <w:shd w:val="clear" w:color="auto" w:fill="F2F5FA"/>
            <w:vAlign w:val="center"/>
          </w:tcPr>
          <w:p>
            <w:pPr>
              <w:spacing w:after="0"/>
            </w:pPr>
            <w:r>
              <w:rPr>
                <w:rFonts w:ascii="游ゴシック" w:hAnsi="游ゴシック" w:eastAsia="游ゴシック"/>
                <w:b w:val="0"/>
                <w:sz w:val="18"/>
              </w:rPr>
              <w:t>令和6年度から令和8年度にかけて、東川町は＋23人、東神楽町は＋12人と増える一方、美瑛町は▲15人と減っています。</w:t>
            </w:r>
          </w:p>
        </w:tc>
        <w:tc>
          <w:tcPr>
            <w:tcW w:type="dxa" w:w="1587"/>
            <w:shd w:val="clear" w:color="auto" w:fill="F2F5FA"/>
            <w:vAlign w:val="center"/>
          </w:tcPr>
          <w:p>
            <w:pPr>
              <w:spacing w:after="0"/>
            </w:pPr>
            <w:r>
              <w:rPr>
                <w:rFonts w:ascii="游ゴシック" w:hAnsi="游ゴシック" w:eastAsia="游ゴシック"/>
                <w:b w:val="0"/>
                <w:sz w:val="18"/>
              </w:rPr>
              <w:t>町で分かれる</w:t>
            </w:r>
          </w:p>
        </w:tc>
      </w:tr>
      <w:tr>
        <w:trPr>
          <w:cantSplit/>
        </w:trPr>
        <w:tc>
          <w:tcPr>
            <w:tcW w:type="dxa" w:w="567"/>
            <w:vAlign w:val="center"/>
          </w:tcPr>
          <w:p>
            <w:pPr>
              <w:spacing w:after="0"/>
              <w:jc w:val="center"/>
            </w:pPr>
            <w:r>
              <w:rPr>
                <w:rFonts w:ascii="游ゴシック" w:hAnsi="游ゴシック" w:eastAsia="游ゴシック"/>
                <w:b w:val="0"/>
                <w:sz w:val="18"/>
              </w:rPr>
              <w:t>3</w:t>
            </w:r>
          </w:p>
        </w:tc>
        <w:tc>
          <w:tcPr>
            <w:tcW w:type="dxa" w:w="2494"/>
            <w:vAlign w:val="center"/>
          </w:tcPr>
          <w:p>
            <w:pPr>
              <w:spacing w:after="0"/>
            </w:pPr>
            <w:r>
              <w:rPr>
                <w:rFonts w:ascii="游ゴシック" w:hAnsi="游ゴシック" w:eastAsia="游ゴシック"/>
                <w:b w:val="0"/>
                <w:sz w:val="18"/>
              </w:rPr>
              <w:t>認定を受けながらサービスを利用していない方が4分の1いる</w:t>
            </w:r>
          </w:p>
        </w:tc>
        <w:tc>
          <w:tcPr>
            <w:tcW w:type="dxa" w:w="5102"/>
            <w:vAlign w:val="center"/>
          </w:tcPr>
          <w:p>
            <w:pPr>
              <w:spacing w:after="0"/>
            </w:pPr>
            <w:r>
              <w:rPr>
                <w:rFonts w:ascii="游ゴシック" w:hAnsi="游ゴシック" w:eastAsia="游ゴシック"/>
                <w:b w:val="0"/>
                <w:sz w:val="18"/>
              </w:rPr>
              <w:t>認定者1,984人のうち、いずれの介護サービスも利用していない方が推計486人（24.5％）います。</w:t>
            </w:r>
          </w:p>
        </w:tc>
        <w:tc>
          <w:tcPr>
            <w:tcW w:type="dxa" w:w="1587"/>
            <w:vAlign w:val="center"/>
          </w:tcPr>
          <w:p>
            <w:pPr>
              <w:spacing w:after="0"/>
            </w:pPr>
            <w:r>
              <w:rPr>
                <w:rFonts w:ascii="游ゴシック" w:hAnsi="游ゴシック" w:eastAsia="游ゴシック"/>
                <w:b w:val="0"/>
                <w:sz w:val="18"/>
              </w:rPr>
              <w:t>3町共通</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4</w:t>
            </w:r>
          </w:p>
        </w:tc>
        <w:tc>
          <w:tcPr>
            <w:tcW w:type="dxa" w:w="2494"/>
            <w:shd w:val="clear" w:color="auto" w:fill="F2F5FA"/>
            <w:vAlign w:val="center"/>
          </w:tcPr>
          <w:p>
            <w:pPr>
              <w:spacing w:after="0"/>
            </w:pPr>
            <w:r>
              <w:rPr>
                <w:rFonts w:ascii="游ゴシック" w:hAnsi="游ゴシック" w:eastAsia="游ゴシック"/>
                <w:b w:val="0"/>
                <w:sz w:val="18"/>
              </w:rPr>
              <w:t>24時間対応のサービスが区域内にない</w:t>
            </w:r>
          </w:p>
        </w:tc>
        <w:tc>
          <w:tcPr>
            <w:tcW w:type="dxa" w:w="5102"/>
            <w:shd w:val="clear" w:color="auto" w:fill="F2F5FA"/>
            <w:vAlign w:val="center"/>
          </w:tcPr>
          <w:p>
            <w:pPr>
              <w:spacing w:after="0"/>
            </w:pPr>
            <w:r>
              <w:rPr>
                <w:rFonts w:ascii="游ゴシック" w:hAnsi="游ゴシック" w:eastAsia="游ゴシック"/>
                <w:b w:val="0"/>
                <w:sz w:val="18"/>
              </w:rPr>
              <w:t>定期巡回・随時対応型訪問介護看護の令和11年度の見込みは月0.6人にとどまり、区域内に事業所がありません。在宅生活改善調査では、より適切と思われるサービスとして24時間対応の3サービスを挙げた回答が延べ26件ありました。</w:t>
            </w:r>
          </w:p>
        </w:tc>
        <w:tc>
          <w:tcPr>
            <w:tcW w:type="dxa" w:w="1587"/>
            <w:shd w:val="clear" w:color="auto" w:fill="F2F5FA"/>
            <w:vAlign w:val="center"/>
          </w:tcPr>
          <w:p>
            <w:pPr>
              <w:spacing w:after="0"/>
            </w:pPr>
            <w:r>
              <w:rPr>
                <w:rFonts w:ascii="游ゴシック" w:hAnsi="游ゴシック" w:eastAsia="游ゴシック"/>
                <w:b w:val="0"/>
                <w:sz w:val="18"/>
              </w:rPr>
              <w:t>3町共通</w:t>
            </w:r>
          </w:p>
        </w:tc>
      </w:tr>
      <w:tr>
        <w:trPr>
          <w:cantSplit/>
        </w:trPr>
        <w:tc>
          <w:tcPr>
            <w:tcW w:type="dxa" w:w="567"/>
            <w:vAlign w:val="center"/>
          </w:tcPr>
          <w:p>
            <w:pPr>
              <w:spacing w:after="0"/>
              <w:jc w:val="center"/>
            </w:pPr>
            <w:r>
              <w:rPr>
                <w:rFonts w:ascii="游ゴシック" w:hAnsi="游ゴシック" w:eastAsia="游ゴシック"/>
                <w:b w:val="0"/>
                <w:sz w:val="18"/>
              </w:rPr>
              <w:t>5</w:t>
            </w:r>
          </w:p>
        </w:tc>
        <w:tc>
          <w:tcPr>
            <w:tcW w:type="dxa" w:w="2494"/>
            <w:vAlign w:val="center"/>
          </w:tcPr>
          <w:p>
            <w:pPr>
              <w:spacing w:after="0"/>
            </w:pPr>
            <w:r>
              <w:rPr>
                <w:rFonts w:ascii="游ゴシック" w:hAnsi="游ゴシック" w:eastAsia="游ゴシック"/>
                <w:b w:val="0"/>
                <w:sz w:val="18"/>
              </w:rPr>
              <w:t>在宅生活の継続が困難な層がいる</w:t>
            </w:r>
          </w:p>
        </w:tc>
        <w:tc>
          <w:tcPr>
            <w:tcW w:type="dxa" w:w="5102"/>
            <w:vAlign w:val="center"/>
          </w:tcPr>
          <w:p>
            <w:pPr>
              <w:spacing w:after="0"/>
            </w:pPr>
            <w:r>
              <w:rPr>
                <w:rFonts w:ascii="游ゴシック" w:hAnsi="游ゴシック" w:eastAsia="游ゴシック"/>
                <w:b w:val="0"/>
                <w:sz w:val="18"/>
              </w:rPr>
              <w:t>在宅生活改善調査で、在宅生活の維持が困難と見込まれる方が回答のあった98人のうち72人（73.5％）でした。ただしこの調査は在宅の認定者全体を代表しません。</w:t>
            </w:r>
          </w:p>
        </w:tc>
        <w:tc>
          <w:tcPr>
            <w:tcW w:type="dxa" w:w="1587"/>
            <w:vAlign w:val="center"/>
          </w:tcPr>
          <w:p>
            <w:pPr>
              <w:spacing w:after="0"/>
            </w:pPr>
            <w:r>
              <w:rPr>
                <w:rFonts w:ascii="游ゴシック" w:hAnsi="游ゴシック" w:eastAsia="游ゴシック"/>
                <w:b w:val="0"/>
                <w:sz w:val="18"/>
              </w:rPr>
              <w:t>3町共通</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6</w:t>
            </w:r>
          </w:p>
        </w:tc>
        <w:tc>
          <w:tcPr>
            <w:tcW w:type="dxa" w:w="2494"/>
            <w:shd w:val="clear" w:color="auto" w:fill="F2F5FA"/>
            <w:vAlign w:val="center"/>
          </w:tcPr>
          <w:p>
            <w:pPr>
              <w:spacing w:after="0"/>
            </w:pPr>
            <w:r>
              <w:rPr>
                <w:rFonts w:ascii="游ゴシック" w:hAnsi="游ゴシック" w:eastAsia="游ゴシック"/>
                <w:b w:val="0"/>
                <w:sz w:val="18"/>
              </w:rPr>
              <w:t>施設入所の経路が医療機関に偏っている</w:t>
            </w:r>
          </w:p>
        </w:tc>
        <w:tc>
          <w:tcPr>
            <w:tcW w:type="dxa" w:w="5102"/>
            <w:shd w:val="clear" w:color="auto" w:fill="F2F5FA"/>
            <w:vAlign w:val="center"/>
          </w:tcPr>
          <w:p>
            <w:pPr>
              <w:spacing w:after="0"/>
            </w:pPr>
            <w:r>
              <w:rPr>
                <w:rFonts w:ascii="游ゴシック" w:hAnsi="游ゴシック" w:eastAsia="游ゴシック"/>
                <w:b w:val="0"/>
                <w:sz w:val="18"/>
              </w:rPr>
              <w:t>居所変更実態調査で、新規入所の57.0％・退去先の47.0％が病院・診療所でした。</w:t>
            </w:r>
          </w:p>
        </w:tc>
        <w:tc>
          <w:tcPr>
            <w:tcW w:type="dxa" w:w="1587"/>
            <w:shd w:val="clear" w:color="auto" w:fill="F2F5FA"/>
            <w:vAlign w:val="center"/>
          </w:tcPr>
          <w:p>
            <w:pPr>
              <w:spacing w:after="0"/>
            </w:pPr>
            <w:r>
              <w:rPr>
                <w:rFonts w:ascii="游ゴシック" w:hAnsi="游ゴシック" w:eastAsia="游ゴシック"/>
                <w:b w:val="0"/>
                <w:sz w:val="18"/>
              </w:rPr>
              <w:t>3町共通</w:t>
            </w:r>
          </w:p>
        </w:tc>
      </w:tr>
      <w:tr>
        <w:trPr>
          <w:cantSplit/>
        </w:trPr>
        <w:tc>
          <w:tcPr>
            <w:tcW w:type="dxa" w:w="567"/>
            <w:vAlign w:val="center"/>
          </w:tcPr>
          <w:p>
            <w:pPr>
              <w:spacing w:after="0"/>
              <w:jc w:val="center"/>
            </w:pPr>
            <w:r>
              <w:rPr>
                <w:rFonts w:ascii="游ゴシック" w:hAnsi="游ゴシック" w:eastAsia="游ゴシック"/>
                <w:b w:val="0"/>
                <w:sz w:val="18"/>
              </w:rPr>
              <w:t>7</w:t>
            </w:r>
          </w:p>
        </w:tc>
        <w:tc>
          <w:tcPr>
            <w:tcW w:type="dxa" w:w="2494"/>
            <w:vAlign w:val="center"/>
          </w:tcPr>
          <w:p>
            <w:pPr>
              <w:spacing w:after="0"/>
            </w:pPr>
            <w:r>
              <w:rPr>
                <w:rFonts w:ascii="游ゴシック" w:hAnsi="游ゴシック" w:eastAsia="游ゴシック"/>
                <w:b w:val="0"/>
                <w:sz w:val="18"/>
              </w:rPr>
              <w:t>地域密着型介護老人福祉施設が第10期中に定員に達する見込み</w:t>
            </w:r>
          </w:p>
        </w:tc>
        <w:tc>
          <w:tcPr>
            <w:tcW w:type="dxa" w:w="5102"/>
            <w:vAlign w:val="center"/>
          </w:tcPr>
          <w:p>
            <w:pPr>
              <w:spacing w:after="0"/>
            </w:pPr>
            <w:r>
              <w:rPr>
                <w:rFonts w:ascii="游ゴシック" w:hAnsi="游ゴシック" w:eastAsia="游ゴシック"/>
                <w:b w:val="0"/>
                <w:sz w:val="18"/>
              </w:rPr>
              <w:t>令和11年度の見込みは月61.9人で、区域内定員62人の99.9％に当たります。令和12年度には定員を超えると見込まれます。</w:t>
            </w:r>
          </w:p>
        </w:tc>
        <w:tc>
          <w:tcPr>
            <w:tcW w:type="dxa" w:w="1587"/>
            <w:vAlign w:val="center"/>
          </w:tcPr>
          <w:p>
            <w:pPr>
              <w:spacing w:after="0"/>
            </w:pPr>
            <w:r>
              <w:rPr>
                <w:rFonts w:ascii="游ゴシック" w:hAnsi="游ゴシック" w:eastAsia="游ゴシック"/>
                <w:b w:val="0"/>
                <w:sz w:val="18"/>
              </w:rPr>
              <w:t>美瑛町に定員が集中</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8</w:t>
            </w:r>
          </w:p>
        </w:tc>
        <w:tc>
          <w:tcPr>
            <w:tcW w:type="dxa" w:w="2494"/>
            <w:shd w:val="clear" w:color="auto" w:fill="F2F5FA"/>
            <w:vAlign w:val="center"/>
          </w:tcPr>
          <w:p>
            <w:pPr>
              <w:spacing w:after="0"/>
            </w:pPr>
            <w:r>
              <w:rPr>
                <w:rFonts w:ascii="游ゴシック" w:hAnsi="游ゴシック" w:eastAsia="游ゴシック"/>
                <w:b w:val="0"/>
                <w:sz w:val="18"/>
              </w:rPr>
              <w:t>認知症高齢者の受け皿の構成が町で異なる</w:t>
            </w:r>
          </w:p>
        </w:tc>
        <w:tc>
          <w:tcPr>
            <w:tcW w:type="dxa" w:w="5102"/>
            <w:shd w:val="clear" w:color="auto" w:fill="F2F5FA"/>
            <w:vAlign w:val="center"/>
          </w:tcPr>
          <w:p>
            <w:pPr>
              <w:spacing w:after="0"/>
            </w:pPr>
            <w:r>
              <w:rPr>
                <w:rFonts w:ascii="游ゴシック" w:hAnsi="游ゴシック" w:eastAsia="游ゴシック"/>
                <w:b w:val="0"/>
                <w:sz w:val="18"/>
              </w:rPr>
              <w:t>認知症対応型共同生活介護の令和11年度の見込みは月85.2人で、区域内定員99人（＋［要確認］）の86.1％に当たります。町別の月平均利用者数は東川町32人・美瑛町21人・東神楽町33人です。</w:t>
            </w:r>
          </w:p>
        </w:tc>
        <w:tc>
          <w:tcPr>
            <w:tcW w:type="dxa" w:w="1587"/>
            <w:shd w:val="clear" w:color="auto" w:fill="F2F5FA"/>
            <w:vAlign w:val="center"/>
          </w:tcPr>
          <w:p>
            <w:pPr>
              <w:spacing w:after="0"/>
            </w:pPr>
            <w:r>
              <w:rPr>
                <w:rFonts w:ascii="游ゴシック" w:hAnsi="游ゴシック" w:eastAsia="游ゴシック"/>
                <w:b w:val="0"/>
                <w:sz w:val="18"/>
              </w:rPr>
              <w:t>町で分かれる</w:t>
            </w:r>
          </w:p>
        </w:tc>
      </w:tr>
      <w:tr>
        <w:trPr>
          <w:cantSplit/>
        </w:trPr>
        <w:tc>
          <w:tcPr>
            <w:tcW w:type="dxa" w:w="567"/>
            <w:vAlign w:val="center"/>
          </w:tcPr>
          <w:p>
            <w:pPr>
              <w:spacing w:after="0"/>
              <w:jc w:val="center"/>
            </w:pPr>
            <w:r>
              <w:rPr>
                <w:rFonts w:ascii="游ゴシック" w:hAnsi="游ゴシック" w:eastAsia="游ゴシック"/>
                <w:b w:val="0"/>
                <w:sz w:val="18"/>
              </w:rPr>
              <w:t>9</w:t>
            </w:r>
          </w:p>
        </w:tc>
        <w:tc>
          <w:tcPr>
            <w:tcW w:type="dxa" w:w="2494"/>
            <w:vAlign w:val="center"/>
          </w:tcPr>
          <w:p>
            <w:pPr>
              <w:spacing w:after="0"/>
            </w:pPr>
            <w:r>
              <w:rPr>
                <w:rFonts w:ascii="游ゴシック" w:hAnsi="游ゴシック" w:eastAsia="游ゴシック"/>
                <w:b w:val="0"/>
                <w:sz w:val="18"/>
              </w:rPr>
              <w:t>認知症対応型通所介護の事業所が区域内にない</w:t>
            </w:r>
          </w:p>
        </w:tc>
        <w:tc>
          <w:tcPr>
            <w:tcW w:type="dxa" w:w="5102"/>
            <w:vAlign w:val="center"/>
          </w:tcPr>
          <w:p>
            <w:pPr>
              <w:spacing w:after="0"/>
            </w:pPr>
            <w:r>
              <w:rPr>
                <w:rFonts w:ascii="游ゴシック" w:hAnsi="游ゴシック" w:eastAsia="游ゴシック"/>
                <w:b w:val="0"/>
                <w:sz w:val="18"/>
              </w:rPr>
              <w:t>区域内に事業所がありませんが、区域外の事業所の利用により令和11年度は月1.05人の給付を見込んでいます。第9期は計画値が0であったため、対計画比が算出されず評価から漏れていました。</w:t>
            </w:r>
          </w:p>
        </w:tc>
        <w:tc>
          <w:tcPr>
            <w:tcW w:type="dxa" w:w="1587"/>
            <w:vAlign w:val="center"/>
          </w:tcPr>
          <w:p>
            <w:pPr>
              <w:spacing w:after="0"/>
            </w:pPr>
            <w:r>
              <w:rPr>
                <w:rFonts w:ascii="游ゴシック" w:hAnsi="游ゴシック" w:eastAsia="游ゴシック"/>
                <w:b w:val="0"/>
                <w:sz w:val="18"/>
              </w:rPr>
              <w:t>3町共通</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10</w:t>
            </w:r>
          </w:p>
        </w:tc>
        <w:tc>
          <w:tcPr>
            <w:tcW w:type="dxa" w:w="2494"/>
            <w:shd w:val="clear" w:color="auto" w:fill="F2F5FA"/>
            <w:vAlign w:val="center"/>
          </w:tcPr>
          <w:p>
            <w:pPr>
              <w:spacing w:after="0"/>
            </w:pPr>
            <w:r>
              <w:rPr>
                <w:rFonts w:ascii="游ゴシック" w:hAnsi="游ゴシック" w:eastAsia="游ゴシック"/>
                <w:b w:val="0"/>
                <w:sz w:val="18"/>
              </w:rPr>
              <w:t>認知症初期集中支援推進事業が1町で休止している</w:t>
            </w:r>
          </w:p>
        </w:tc>
        <w:tc>
          <w:tcPr>
            <w:tcW w:type="dxa" w:w="5102"/>
            <w:shd w:val="clear" w:color="auto" w:fill="F2F5FA"/>
            <w:vAlign w:val="center"/>
          </w:tcPr>
          <w:p>
            <w:pPr>
              <w:spacing w:after="0"/>
            </w:pPr>
            <w:r>
              <w:rPr>
                <w:rFonts w:ascii="游ゴシック" w:hAnsi="游ゴシック" w:eastAsia="游ゴシック"/>
                <w:b w:val="0"/>
                <w:sz w:val="18"/>
              </w:rPr>
              <w:t>令和7年度の実施報告書によれば、美瑛町の認知症初期集中支援推進事業は対応件数0件で、医師を確保できず休止しています。</w:t>
            </w:r>
          </w:p>
        </w:tc>
        <w:tc>
          <w:tcPr>
            <w:tcW w:type="dxa" w:w="1587"/>
            <w:shd w:val="clear" w:color="auto" w:fill="F2F5FA"/>
            <w:vAlign w:val="center"/>
          </w:tcPr>
          <w:p>
            <w:pPr>
              <w:spacing w:after="0"/>
            </w:pPr>
            <w:r>
              <w:rPr>
                <w:rFonts w:ascii="游ゴシック" w:hAnsi="游ゴシック" w:eastAsia="游ゴシック"/>
                <w:b w:val="0"/>
                <w:sz w:val="18"/>
              </w:rPr>
              <w:t>美瑛町</w:t>
            </w:r>
          </w:p>
        </w:tc>
      </w:tr>
      <w:tr>
        <w:trPr>
          <w:cantSplit/>
        </w:trPr>
        <w:tc>
          <w:tcPr>
            <w:tcW w:type="dxa" w:w="567"/>
            <w:vAlign w:val="center"/>
          </w:tcPr>
          <w:p>
            <w:pPr>
              <w:spacing w:after="0"/>
              <w:jc w:val="center"/>
            </w:pPr>
            <w:r>
              <w:rPr>
                <w:rFonts w:ascii="游ゴシック" w:hAnsi="游ゴシック" w:eastAsia="游ゴシック"/>
                <w:b w:val="0"/>
                <w:sz w:val="18"/>
              </w:rPr>
              <w:t>11</w:t>
            </w:r>
          </w:p>
        </w:tc>
        <w:tc>
          <w:tcPr>
            <w:tcW w:type="dxa" w:w="2494"/>
            <w:vAlign w:val="center"/>
          </w:tcPr>
          <w:p>
            <w:pPr>
              <w:spacing w:after="0"/>
            </w:pPr>
            <w:r>
              <w:rPr>
                <w:rFonts w:ascii="游ゴシック" w:hAnsi="游ゴシック" w:eastAsia="游ゴシック"/>
                <w:b w:val="0"/>
                <w:sz w:val="18"/>
              </w:rPr>
              <w:t>通いの場の整備状況が町で大きく異なる</w:t>
            </w:r>
          </w:p>
        </w:tc>
        <w:tc>
          <w:tcPr>
            <w:tcW w:type="dxa" w:w="5102"/>
            <w:vAlign w:val="center"/>
          </w:tcPr>
          <w:p>
            <w:pPr>
              <w:spacing w:after="0"/>
            </w:pPr>
            <w:r>
              <w:rPr>
                <w:rFonts w:ascii="游ゴシック" w:hAnsi="游ゴシック" w:eastAsia="游ゴシック"/>
                <w:b w:val="0"/>
                <w:sz w:val="18"/>
              </w:rPr>
              <w:t>箇所数は東川町2・美瑛町8・東神楽町15で、参加実人数は40人・133人・157人です。</w:t>
            </w:r>
          </w:p>
        </w:tc>
        <w:tc>
          <w:tcPr>
            <w:tcW w:type="dxa" w:w="1587"/>
            <w:vAlign w:val="center"/>
          </w:tcPr>
          <w:p>
            <w:pPr>
              <w:spacing w:after="0"/>
            </w:pPr>
            <w:r>
              <w:rPr>
                <w:rFonts w:ascii="游ゴシック" w:hAnsi="游ゴシック" w:eastAsia="游ゴシック"/>
                <w:b w:val="0"/>
                <w:sz w:val="18"/>
              </w:rPr>
              <w:t>町で分かれる</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12</w:t>
            </w:r>
          </w:p>
        </w:tc>
        <w:tc>
          <w:tcPr>
            <w:tcW w:type="dxa" w:w="2494"/>
            <w:shd w:val="clear" w:color="auto" w:fill="F2F5FA"/>
            <w:vAlign w:val="center"/>
          </w:tcPr>
          <w:p>
            <w:pPr>
              <w:spacing w:after="0"/>
            </w:pPr>
            <w:r>
              <w:rPr>
                <w:rFonts w:ascii="游ゴシック" w:hAnsi="游ゴシック" w:eastAsia="游ゴシック"/>
                <w:b w:val="0"/>
                <w:sz w:val="18"/>
              </w:rPr>
              <w:t>介護人材の確保が進まない</w:t>
            </w:r>
          </w:p>
        </w:tc>
        <w:tc>
          <w:tcPr>
            <w:tcW w:type="dxa" w:w="5102"/>
            <w:shd w:val="clear" w:color="auto" w:fill="F2F5FA"/>
            <w:vAlign w:val="center"/>
          </w:tcPr>
          <w:p>
            <w:pPr>
              <w:spacing w:after="0"/>
            </w:pPr>
            <w:r>
              <w:rPr>
                <w:rFonts w:ascii="游ゴシック" w:hAnsi="游ゴシック" w:eastAsia="游ゴシック"/>
                <w:b w:val="0"/>
                <w:sz w:val="18"/>
              </w:rPr>
              <w:t>介護人材実態調査で、外国人職員は施設・通所系の介護職員319人のうち37人（11.6％）、勤続1年未満が19.9％でした。採用83人に対し離職65人です。</w:t>
            </w:r>
          </w:p>
        </w:tc>
        <w:tc>
          <w:tcPr>
            <w:tcW w:type="dxa" w:w="1587"/>
            <w:shd w:val="clear" w:color="auto" w:fill="F2F5FA"/>
            <w:vAlign w:val="center"/>
          </w:tcPr>
          <w:p>
            <w:pPr>
              <w:spacing w:after="0"/>
            </w:pPr>
            <w:r>
              <w:rPr>
                <w:rFonts w:ascii="游ゴシック" w:hAnsi="游ゴシック" w:eastAsia="游ゴシック"/>
                <w:b w:val="0"/>
                <w:sz w:val="18"/>
              </w:rPr>
              <w:t>3町共通</w:t>
            </w:r>
          </w:p>
        </w:tc>
      </w:tr>
      <w:tr>
        <w:trPr>
          <w:cantSplit/>
        </w:trPr>
        <w:tc>
          <w:tcPr>
            <w:tcW w:type="dxa" w:w="567"/>
            <w:vAlign w:val="center"/>
          </w:tcPr>
          <w:p>
            <w:pPr>
              <w:spacing w:after="0"/>
              <w:jc w:val="center"/>
            </w:pPr>
            <w:r>
              <w:rPr>
                <w:rFonts w:ascii="游ゴシック" w:hAnsi="游ゴシック" w:eastAsia="游ゴシック"/>
                <w:b w:val="0"/>
                <w:sz w:val="18"/>
              </w:rPr>
              <w:t>13</w:t>
            </w:r>
          </w:p>
        </w:tc>
        <w:tc>
          <w:tcPr>
            <w:tcW w:type="dxa" w:w="2494"/>
            <w:vAlign w:val="center"/>
          </w:tcPr>
          <w:p>
            <w:pPr>
              <w:spacing w:after="0"/>
            </w:pPr>
            <w:r>
              <w:rPr>
                <w:rFonts w:ascii="游ゴシック" w:hAnsi="游ゴシック" w:eastAsia="游ゴシック"/>
                <w:b w:val="0"/>
                <w:sz w:val="18"/>
              </w:rPr>
              <w:t>除雪など介護保険の給付対象外の困りごとが大きい</w:t>
            </w:r>
          </w:p>
        </w:tc>
        <w:tc>
          <w:tcPr>
            <w:tcW w:type="dxa" w:w="5102"/>
            <w:vAlign w:val="center"/>
          </w:tcPr>
          <w:p>
            <w:pPr>
              <w:spacing w:after="0"/>
            </w:pPr>
            <w:r>
              <w:rPr>
                <w:rFonts w:ascii="游ゴシック" w:hAnsi="游ゴシック" w:eastAsia="游ゴシック"/>
                <w:b w:val="0"/>
                <w:sz w:val="18"/>
              </w:rPr>
              <w:t>健康とくらしの調査で、生活動作の困りごととして除雪を挙げた方が回答者4,128票のうち1,002人（24.3％）でした。</w:t>
            </w:r>
          </w:p>
        </w:tc>
        <w:tc>
          <w:tcPr>
            <w:tcW w:type="dxa" w:w="1587"/>
            <w:vAlign w:val="center"/>
          </w:tcPr>
          <w:p>
            <w:pPr>
              <w:spacing w:after="0"/>
            </w:pPr>
            <w:r>
              <w:rPr>
                <w:rFonts w:ascii="游ゴシック" w:hAnsi="游ゴシック" w:eastAsia="游ゴシック"/>
                <w:b w:val="0"/>
                <w:sz w:val="18"/>
              </w:rPr>
              <w:t>3町共通</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14</w:t>
            </w:r>
          </w:p>
        </w:tc>
        <w:tc>
          <w:tcPr>
            <w:tcW w:type="dxa" w:w="2494"/>
            <w:shd w:val="clear" w:color="auto" w:fill="F2F5FA"/>
            <w:vAlign w:val="center"/>
          </w:tcPr>
          <w:p>
            <w:pPr>
              <w:spacing w:after="0"/>
            </w:pPr>
            <w:r>
              <w:rPr>
                <w:rFonts w:ascii="游ゴシック" w:hAnsi="游ゴシック" w:eastAsia="游ゴシック"/>
                <w:b w:val="0"/>
                <w:sz w:val="18"/>
              </w:rPr>
              <w:t>保険者機能強化推進交付金等の得点に町の差がある</w:t>
            </w:r>
          </w:p>
        </w:tc>
        <w:tc>
          <w:tcPr>
            <w:tcW w:type="dxa" w:w="5102"/>
            <w:shd w:val="clear" w:color="auto" w:fill="F2F5FA"/>
            <w:vAlign w:val="center"/>
          </w:tcPr>
          <w:p>
            <w:pPr>
              <w:spacing w:after="0"/>
            </w:pPr>
            <w:r>
              <w:rPr>
                <w:rFonts w:ascii="游ゴシック" w:hAnsi="游ゴシック" w:eastAsia="游ゴシック"/>
                <w:b w:val="0"/>
                <w:sz w:val="18"/>
              </w:rPr>
              <w:t>令和8年度は東川町315点・美瑛町308点・東神楽町379点で、最大の差は71点です。令和6年度からの動きも東川町▲1点・美瑛町▲4点・東神楽町＋11点と分かれています。</w:t>
            </w:r>
          </w:p>
        </w:tc>
        <w:tc>
          <w:tcPr>
            <w:tcW w:type="dxa" w:w="1587"/>
            <w:shd w:val="clear" w:color="auto" w:fill="F2F5FA"/>
            <w:vAlign w:val="center"/>
          </w:tcPr>
          <w:p>
            <w:pPr>
              <w:spacing w:after="0"/>
            </w:pPr>
            <w:r>
              <w:rPr>
                <w:rFonts w:ascii="游ゴシック" w:hAnsi="游ゴシック" w:eastAsia="游ゴシック"/>
                <w:b w:val="0"/>
                <w:sz w:val="18"/>
              </w:rPr>
              <w:t>町で分かれる</w:t>
            </w:r>
          </w:p>
        </w:tc>
      </w:tr>
      <w:tr>
        <w:trPr>
          <w:cantSplit/>
        </w:trPr>
        <w:tc>
          <w:tcPr>
            <w:tcW w:type="dxa" w:w="567"/>
            <w:vAlign w:val="center"/>
          </w:tcPr>
          <w:p>
            <w:pPr>
              <w:spacing w:after="0"/>
              <w:jc w:val="center"/>
            </w:pPr>
            <w:r>
              <w:rPr>
                <w:rFonts w:ascii="游ゴシック" w:hAnsi="游ゴシック" w:eastAsia="游ゴシック"/>
                <w:b w:val="0"/>
                <w:sz w:val="18"/>
              </w:rPr>
              <w:t>15</w:t>
            </w:r>
          </w:p>
        </w:tc>
        <w:tc>
          <w:tcPr>
            <w:tcW w:type="dxa" w:w="2494"/>
            <w:vAlign w:val="center"/>
          </w:tcPr>
          <w:p>
            <w:pPr>
              <w:spacing w:after="0"/>
            </w:pPr>
            <w:r>
              <w:rPr>
                <w:rFonts w:ascii="游ゴシック" w:hAnsi="游ゴシック" w:eastAsia="游ゴシック"/>
                <w:b w:val="0"/>
                <w:sz w:val="18"/>
              </w:rPr>
              <w:t>地域ケア会議の成果を測る指標がない</w:t>
            </w:r>
          </w:p>
        </w:tc>
        <w:tc>
          <w:tcPr>
            <w:tcW w:type="dxa" w:w="5102"/>
            <w:vAlign w:val="center"/>
          </w:tcPr>
          <w:p>
            <w:pPr>
              <w:spacing w:after="0"/>
            </w:pPr>
            <w:r>
              <w:rPr>
                <w:rFonts w:ascii="游ゴシック" w:hAnsi="游ゴシック" w:eastAsia="游ゴシック"/>
                <w:b w:val="0"/>
                <w:sz w:val="18"/>
              </w:rPr>
              <w:t>第9期の評価で「指標不足・成果を測る指標がない」と判定しました。指標は会議の開催回数のみです。令和7年度の実施報告書でも、回数・人数と単位がそろわず3町を合計できません。</w:t>
            </w:r>
          </w:p>
        </w:tc>
        <w:tc>
          <w:tcPr>
            <w:tcW w:type="dxa" w:w="1587"/>
            <w:vAlign w:val="center"/>
          </w:tcPr>
          <w:p>
            <w:pPr>
              <w:spacing w:after="0"/>
            </w:pPr>
            <w:r>
              <w:rPr>
                <w:rFonts w:ascii="游ゴシック" w:hAnsi="游ゴシック" w:eastAsia="游ゴシック"/>
                <w:b w:val="0"/>
                <w:sz w:val="18"/>
              </w:rPr>
              <w:t>3町共通</w:t>
            </w:r>
          </w:p>
        </w:tc>
      </w:tr>
    </w:tbl>
    <w:p>
      <w:pPr>
        <w:spacing w:after="80"/>
      </w:pPr>
      <w:r>
        <w:rPr>
          <w:rFonts w:ascii="游ゴシック" w:hAnsi="游ゴシック" w:eastAsia="游ゴシック"/>
          <w:b w:val="0"/>
          <w:sz w:val="17"/>
        </w:rPr>
        <w:t>資料：10月 地域課題の整理と3町協議の確認事項</w:t>
      </w:r>
    </w:p>
    <w:p>
      <w:pPr>
        <w:ind w:left="227"/>
      </w:pPr>
      <w:r>
        <w:rPr>
          <w:rFonts w:ascii="游ゴシック" w:hAnsi="游ゴシック" w:eastAsia="游ゴシック"/>
          <w:b w:val="0"/>
          <w:sz w:val="18"/>
        </w:rPr>
        <w:t>※ 出所と計画本文の反映先は上記の資料に掲げています。</w:t>
      </w:r>
    </w:p>
    <w:p>
      <w:pPr>
        <w:keepNext/>
        <w:pageBreakBefore/>
        <w:spacing w:before="0" w:after="120"/>
      </w:pPr>
      <w:r>
        <w:rPr>
          <w:rFonts w:ascii="游ゴシック" w:hAnsi="游ゴシック" w:eastAsia="游ゴシック"/>
          <w:b/>
          <w:color w:val="1F3864"/>
          <w:sz w:val="26"/>
        </w:rPr>
        <w:t>第6節　ご決定をお願いする事項（3町共通）</w:t>
      </w:r>
    </w:p>
    <w:p>
      <w:pPr>
        <w:spacing w:after="80"/>
      </w:pPr>
      <w:r>
        <w:rPr>
          <w:rFonts w:ascii="游ゴシック" w:hAnsi="游ゴシック" w:eastAsia="游ゴシック"/>
          <w:b w:val="0"/>
          <w:sz w:val="21"/>
        </w:rPr>
        <w:t>広域連合として決めていただく事項です。「決まらない場合の当方の扱い」は受託者の仮置きであり、本意見交換会でその内容を諮ります。</w:t>
      </w:r>
      <w:r>
        <w:rPr>
          <w:rFonts w:ascii="游ゴシック" w:hAnsi="游ゴシック" w:eastAsia="游ゴシック"/>
          <w:b/>
          <w:sz w:val="21"/>
        </w:rPr>
        <w:t>仮置きのままでは計画として確定できません。</w:t>
      </w:r>
    </w:p>
    <w:p>
      <w:pPr>
        <w:keepNext/>
        <w:spacing w:before="180" w:after="60"/>
      </w:pPr>
      <w:r>
        <w:rPr>
          <w:rFonts w:ascii="游ゴシック" w:hAnsi="游ゴシック" w:eastAsia="游ゴシック"/>
          <w:b/>
          <w:sz w:val="22"/>
        </w:rPr>
        <w:t>1　サービス見込量・保険料の算定を止めているもの（6件）</w:t>
      </w:r>
    </w:p>
    <w:p>
      <w:pPr>
        <w:spacing w:after="80"/>
      </w:pPr>
      <w:r>
        <w:rPr>
          <w:rFonts w:ascii="游ゴシック" w:hAnsi="游ゴシック" w:eastAsia="游ゴシック"/>
          <w:b w:val="0"/>
          <w:sz w:val="20"/>
        </w:rPr>
        <w:t>第2次概算（令和8年10月30日）に向けて、優先してご決定をお願いしたいものです。</w:t>
      </w:r>
    </w:p>
    <w:p>
      <w:pPr>
        <w:keepNext/>
        <w:spacing w:before="160" w:after="40"/>
      </w:pPr>
      <w:r>
        <w:rPr>
          <w:rFonts w:ascii="游ゴシック" w:hAnsi="游ゴシック" w:eastAsia="游ゴシック"/>
          <w:b/>
          <w:sz w:val="20"/>
        </w:rPr>
        <w:t>表11　算定を止めている確認事項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spacing w:after="0"/>
              <w:jc w:val="center"/>
            </w:pPr>
            <w:r>
              <w:rPr>
                <w:rFonts w:ascii="游ゴシック" w:hAnsi="游ゴシック" w:eastAsia="游ゴシック"/>
                <w:b/>
                <w:color w:val="FFFFFF"/>
                <w:sz w:val="18"/>
              </w:rPr>
              <w:t>確認事項</w:t>
            </w:r>
          </w:p>
        </w:tc>
        <w:tc>
          <w:tcPr>
            <w:tcW w:type="dxa" w:w="4876"/>
            <w:shd w:val="clear" w:color="auto" w:fill="1F3864"/>
            <w:vAlign w:val="center"/>
          </w:tcPr>
          <w:p>
            <w:pPr>
              <w:spacing w:after="0"/>
              <w:jc w:val="center"/>
            </w:pPr>
            <w:r>
              <w:rPr>
                <w:rFonts w:ascii="游ゴシック" w:hAnsi="游ゴシック" w:eastAsia="游ゴシック"/>
                <w:b/>
                <w:color w:val="FFFFFF"/>
                <w:sz w:val="18"/>
              </w:rPr>
              <w:t>決まらない場合の当方の扱い（仮置き）</w:t>
            </w:r>
          </w:p>
        </w:tc>
        <w:tc>
          <w:tcPr>
            <w:tcW w:type="dxa" w:w="1134"/>
            <w:shd w:val="clear" w:color="auto" w:fill="1F3864"/>
            <w:vAlign w:val="center"/>
          </w:tcPr>
          <w:p>
            <w:pPr>
              <w:spacing w:after="0"/>
              <w:jc w:val="center"/>
            </w:pPr>
            <w:r>
              <w:rPr>
                <w:rFonts w:ascii="游ゴシック" w:hAnsi="游ゴシック" w:eastAsia="游ゴシック"/>
                <w:b/>
                <w:color w:val="FFFFFF"/>
                <w:sz w:val="18"/>
              </w:rPr>
              <w:t>期限</w:t>
            </w:r>
          </w:p>
        </w:tc>
      </w:tr>
      <w:tr>
        <w:trPr>
          <w:cantSplit/>
        </w:trPr>
        <w:tc>
          <w:tcPr>
            <w:tcW w:type="dxa" w:w="794"/>
            <w:vAlign w:val="center"/>
          </w:tcPr>
          <w:p>
            <w:pPr>
              <w:spacing w:after="0"/>
              <w:jc w:val="center"/>
            </w:pPr>
            <w:r>
              <w:rPr>
                <w:rFonts w:ascii="游ゴシック" w:hAnsi="游ゴシック" w:eastAsia="游ゴシック"/>
                <w:b w:val="0"/>
                <w:sz w:val="18"/>
              </w:rPr>
              <w:t>No.88</w:t>
            </w:r>
          </w:p>
        </w:tc>
        <w:tc>
          <w:tcPr>
            <w:tcW w:type="dxa" w:w="2948"/>
            <w:vAlign w:val="center"/>
          </w:tcPr>
          <w:p>
            <w:pPr>
              <w:spacing w:after="0"/>
            </w:pPr>
            <w:r>
              <w:rPr>
                <w:rFonts w:ascii="游ゴシック" w:hAnsi="游ゴシック" w:eastAsia="游ゴシック"/>
                <w:b w:val="0"/>
                <w:sz w:val="18"/>
              </w:rPr>
              <w:t>日常生活圏域ごとの必要利用定員総数（法定記載事項）</w:t>
            </w:r>
          </w:p>
        </w:tc>
        <w:tc>
          <w:tcPr>
            <w:tcW w:type="dxa" w:w="4876"/>
            <w:vAlign w:val="center"/>
          </w:tcPr>
          <w:p>
            <w:pPr>
              <w:spacing w:after="0"/>
            </w:pPr>
            <w:r>
              <w:rPr>
                <w:rFonts w:ascii="游ゴシック" w:hAnsi="游ゴシック" w:eastAsia="游ゴシック"/>
                <w:b w:val="0"/>
                <w:sz w:val="18"/>
              </w:rPr>
              <w:t>3町（3圏域）を基盤整備単位とする案のまま概算する。必要利用定員総数は［要協議］のまま残す</w:t>
            </w:r>
          </w:p>
        </w:tc>
        <w:tc>
          <w:tcPr>
            <w:tcW w:type="dxa" w:w="1134"/>
            <w:vAlign w:val="center"/>
          </w:tcPr>
          <w:p>
            <w:pPr>
              <w:spacing w:after="0"/>
              <w:jc w:val="center"/>
            </w:pPr>
            <w:r>
              <w:rPr>
                <w:rFonts w:ascii="游ゴシック" w:hAnsi="游ゴシック" w:eastAsia="游ゴシック"/>
                <w:b w:val="0"/>
                <w:sz w:val="18"/>
              </w:rPr>
              <w:t>R8.9</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No.107</w:t>
            </w:r>
          </w:p>
        </w:tc>
        <w:tc>
          <w:tcPr>
            <w:tcW w:type="dxa" w:w="2948"/>
            <w:shd w:val="clear" w:color="auto" w:fill="F2F5FA"/>
            <w:vAlign w:val="center"/>
          </w:tcPr>
          <w:p>
            <w:pPr>
              <w:spacing w:after="0"/>
            </w:pPr>
            <w:r>
              <w:rPr>
                <w:rFonts w:ascii="游ゴシック" w:hAnsi="游ゴシック" w:eastAsia="游ゴシック"/>
                <w:b w:val="0"/>
                <w:sz w:val="18"/>
              </w:rPr>
              <w:t>施設・居住系の実績の減少を将来へ延長するか</w:t>
            </w:r>
          </w:p>
        </w:tc>
        <w:tc>
          <w:tcPr>
            <w:tcW w:type="dxa" w:w="4876"/>
            <w:shd w:val="clear" w:color="auto" w:fill="F2F5FA"/>
            <w:vAlign w:val="center"/>
          </w:tcPr>
          <w:p>
            <w:pPr>
              <w:spacing w:after="0"/>
            </w:pPr>
            <w:r>
              <w:rPr>
                <w:rFonts w:ascii="游ゴシック" w:hAnsi="游ゴシック" w:eastAsia="游ゴシック"/>
                <w:b w:val="0"/>
                <w:sz w:val="18"/>
              </w:rPr>
              <w:t>施設・居住系の実績の減少を将来へ延長しないまま概算する</w:t>
            </w:r>
          </w:p>
        </w:tc>
        <w:tc>
          <w:tcPr>
            <w:tcW w:type="dxa" w:w="1134"/>
            <w:shd w:val="clear" w:color="auto" w:fill="F2F5FA"/>
            <w:vAlign w:val="center"/>
          </w:tcPr>
          <w:p>
            <w:pPr>
              <w:spacing w:after="0"/>
              <w:jc w:val="center"/>
            </w:pPr>
            <w:r>
              <w:rPr>
                <w:rFonts w:ascii="游ゴシック" w:hAnsi="游ゴシック" w:eastAsia="游ゴシック"/>
                <w:b w:val="0"/>
                <w:sz w:val="18"/>
              </w:rPr>
              <w:t>R8.9</w:t>
            </w:r>
          </w:p>
        </w:tc>
      </w:tr>
      <w:tr>
        <w:trPr>
          <w:cantSplit/>
        </w:trPr>
        <w:tc>
          <w:tcPr>
            <w:tcW w:type="dxa" w:w="794"/>
            <w:vAlign w:val="center"/>
          </w:tcPr>
          <w:p>
            <w:pPr>
              <w:spacing w:after="0"/>
              <w:jc w:val="center"/>
            </w:pPr>
            <w:r>
              <w:rPr>
                <w:rFonts w:ascii="游ゴシック" w:hAnsi="游ゴシック" w:eastAsia="游ゴシック"/>
                <w:b w:val="0"/>
                <w:sz w:val="18"/>
              </w:rPr>
              <w:t>No.14</w:t>
            </w:r>
          </w:p>
        </w:tc>
        <w:tc>
          <w:tcPr>
            <w:tcW w:type="dxa" w:w="2948"/>
            <w:vAlign w:val="center"/>
          </w:tcPr>
          <w:p>
            <w:pPr>
              <w:spacing w:after="0"/>
            </w:pPr>
            <w:r>
              <w:rPr>
                <w:rFonts w:ascii="游ゴシック" w:hAnsi="游ゴシック" w:eastAsia="游ゴシック"/>
                <w:b w:val="0"/>
                <w:sz w:val="18"/>
              </w:rPr>
              <w:t>人口推計の基礎とする系列</w:t>
            </w:r>
          </w:p>
        </w:tc>
        <w:tc>
          <w:tcPr>
            <w:tcW w:type="dxa" w:w="4876"/>
            <w:vAlign w:val="center"/>
          </w:tcPr>
          <w:p>
            <w:pPr>
              <w:spacing w:after="0"/>
            </w:pPr>
            <w:r>
              <w:rPr>
                <w:rFonts w:ascii="游ゴシック" w:hAnsi="游ゴシック" w:eastAsia="游ゴシック"/>
                <w:b w:val="0"/>
                <w:sz w:val="18"/>
              </w:rPr>
              <w:t>案C（総合戦略＋住民基本台帳の実績趨勢）のまま確定する</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No.115</w:t>
            </w:r>
          </w:p>
        </w:tc>
        <w:tc>
          <w:tcPr>
            <w:tcW w:type="dxa" w:w="2948"/>
            <w:shd w:val="clear" w:color="auto" w:fill="F2F5FA"/>
            <w:vAlign w:val="center"/>
          </w:tcPr>
          <w:p>
            <w:pPr>
              <w:spacing w:after="0"/>
            </w:pPr>
            <w:r>
              <w:rPr>
                <w:rFonts w:ascii="游ゴシック" w:hAnsi="游ゴシック" w:eastAsia="游ゴシック"/>
                <w:b w:val="0"/>
                <w:sz w:val="18"/>
              </w:rPr>
              <w:t>令和9年4月に新設される区分を見込量に立てるか</w:t>
            </w:r>
          </w:p>
        </w:tc>
        <w:tc>
          <w:tcPr>
            <w:tcW w:type="dxa" w:w="4876"/>
            <w:shd w:val="clear" w:color="auto" w:fill="F2F5FA"/>
            <w:vAlign w:val="center"/>
          </w:tcPr>
          <w:p>
            <w:pPr>
              <w:spacing w:after="0"/>
            </w:pPr>
            <w:r>
              <w:rPr>
                <w:rFonts w:ascii="游ゴシック" w:hAnsi="游ゴシック" w:eastAsia="游ゴシック"/>
                <w:b w:val="0"/>
                <w:sz w:val="18"/>
              </w:rPr>
              <w:t>令和9年4月新設の3区分を0として立てる</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794"/>
            <w:vAlign w:val="center"/>
          </w:tcPr>
          <w:p>
            <w:pPr>
              <w:spacing w:after="0"/>
              <w:jc w:val="center"/>
            </w:pPr>
            <w:r>
              <w:rPr>
                <w:rFonts w:ascii="游ゴシック" w:hAnsi="游ゴシック" w:eastAsia="游ゴシック"/>
                <w:b w:val="0"/>
                <w:sz w:val="18"/>
              </w:rPr>
              <w:t>No.116</w:t>
            </w:r>
          </w:p>
        </w:tc>
        <w:tc>
          <w:tcPr>
            <w:tcW w:type="dxa" w:w="2948"/>
            <w:vAlign w:val="center"/>
          </w:tcPr>
          <w:p>
            <w:pPr>
              <w:spacing w:after="0"/>
            </w:pPr>
            <w:r>
              <w:rPr>
                <w:rFonts w:ascii="游ゴシック" w:hAnsi="游ゴシック" w:eastAsia="游ゴシック"/>
                <w:b w:val="0"/>
                <w:sz w:val="18"/>
              </w:rPr>
              <w:t>介護人材の確保状況を供給の制約として見込量に反映するか</w:t>
            </w:r>
          </w:p>
        </w:tc>
        <w:tc>
          <w:tcPr>
            <w:tcW w:type="dxa" w:w="4876"/>
            <w:vAlign w:val="center"/>
          </w:tcPr>
          <w:p>
            <w:pPr>
              <w:spacing w:after="0"/>
            </w:pPr>
            <w:r>
              <w:rPr>
                <w:rFonts w:ascii="游ゴシック" w:hAnsi="游ゴシック" w:eastAsia="游ゴシック"/>
                <w:b w:val="0"/>
                <w:sz w:val="18"/>
              </w:rPr>
              <w:t>供給の制約（人材）を見込量に反映しない（需要のみで算定する）</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No.133</w:t>
            </w:r>
          </w:p>
        </w:tc>
        <w:tc>
          <w:tcPr>
            <w:tcW w:type="dxa" w:w="2948"/>
            <w:shd w:val="clear" w:color="auto" w:fill="F2F5FA"/>
            <w:vAlign w:val="center"/>
          </w:tcPr>
          <w:p>
            <w:pPr>
              <w:spacing w:after="0"/>
            </w:pPr>
            <w:r>
              <w:rPr>
                <w:rFonts w:ascii="游ゴシック" w:hAnsi="游ゴシック" w:eastAsia="游ゴシック"/>
                <w:b w:val="0"/>
                <w:sz w:val="18"/>
              </w:rPr>
              <w:t>介護老人保健施設の令和8年度の減少をどう見るか</w:t>
            </w:r>
          </w:p>
        </w:tc>
        <w:tc>
          <w:tcPr>
            <w:tcW w:type="dxa" w:w="4876"/>
            <w:shd w:val="clear" w:color="auto" w:fill="F2F5FA"/>
            <w:vAlign w:val="center"/>
          </w:tcPr>
          <w:p>
            <w:pPr>
              <w:spacing w:after="0"/>
            </w:pPr>
            <w:r>
              <w:rPr>
                <w:rFonts w:ascii="游ゴシック" w:hAnsi="游ゴシック" w:eastAsia="游ゴシック"/>
                <w:b w:val="0"/>
                <w:sz w:val="18"/>
              </w:rPr>
              <w:t>令和8年度の月報（4〜7月）は基準年度に用いず、令和7年度を基準として概算する</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bl>
    <w:p>
      <w:pPr>
        <w:spacing w:after="80"/>
      </w:pPr>
      <w:r>
        <w:rPr>
          <w:rFonts w:ascii="游ゴシック" w:hAnsi="游ゴシック" w:eastAsia="游ゴシック"/>
          <w:b w:val="0"/>
          <w:sz w:val="17"/>
        </w:rPr>
        <w:t>資料：業務工程管理表 03_確認事項一覧</w:t>
      </w:r>
    </w:p>
    <w:p>
      <w:pPr>
        <w:keepNext/>
        <w:spacing w:before="180" w:after="60"/>
      </w:pPr>
      <w:r>
        <w:rPr>
          <w:rFonts w:ascii="游ゴシック" w:hAnsi="游ゴシック" w:eastAsia="游ゴシック"/>
          <w:b/>
          <w:sz w:val="22"/>
        </w:rPr>
        <w:t>2　計画の記載に関わるもの（19件）</w:t>
      </w:r>
    </w:p>
    <w:p>
      <w:pPr>
        <w:keepNext/>
        <w:spacing w:before="160" w:after="40"/>
      </w:pPr>
      <w:r>
        <w:rPr>
          <w:rFonts w:ascii="游ゴシック" w:hAnsi="游ゴシック" w:eastAsia="游ゴシック"/>
          <w:b/>
          <w:sz w:val="20"/>
        </w:rPr>
        <w:t>表12　計画の記載に関わる確認事項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spacing w:after="0"/>
              <w:jc w:val="center"/>
            </w:pPr>
            <w:r>
              <w:rPr>
                <w:rFonts w:ascii="游ゴシック" w:hAnsi="游ゴシック" w:eastAsia="游ゴシック"/>
                <w:b/>
                <w:color w:val="FFFFFF"/>
                <w:sz w:val="18"/>
              </w:rPr>
              <w:t>確認事項</w:t>
            </w:r>
          </w:p>
        </w:tc>
        <w:tc>
          <w:tcPr>
            <w:tcW w:type="dxa" w:w="4876"/>
            <w:shd w:val="clear" w:color="auto" w:fill="1F3864"/>
            <w:vAlign w:val="center"/>
          </w:tcPr>
          <w:p>
            <w:pPr>
              <w:spacing w:after="0"/>
              <w:jc w:val="center"/>
            </w:pPr>
            <w:r>
              <w:rPr>
                <w:rFonts w:ascii="游ゴシック" w:hAnsi="游ゴシック" w:eastAsia="游ゴシック"/>
                <w:b/>
                <w:color w:val="FFFFFF"/>
                <w:sz w:val="18"/>
              </w:rPr>
              <w:t>決まらない場合の当方の扱い（仮置き）</w:t>
            </w:r>
          </w:p>
        </w:tc>
        <w:tc>
          <w:tcPr>
            <w:tcW w:type="dxa" w:w="1134"/>
            <w:shd w:val="clear" w:color="auto" w:fill="1F3864"/>
            <w:vAlign w:val="center"/>
          </w:tcPr>
          <w:p>
            <w:pPr>
              <w:spacing w:after="0"/>
              <w:jc w:val="center"/>
            </w:pPr>
            <w:r>
              <w:rPr>
                <w:rFonts w:ascii="游ゴシック" w:hAnsi="游ゴシック" w:eastAsia="游ゴシック"/>
                <w:b/>
                <w:color w:val="FFFFFF"/>
                <w:sz w:val="18"/>
              </w:rPr>
              <w:t>期限</w:t>
            </w:r>
          </w:p>
        </w:tc>
      </w:tr>
      <w:tr>
        <w:trPr>
          <w:cantSplit/>
        </w:trPr>
        <w:tc>
          <w:tcPr>
            <w:tcW w:type="dxa" w:w="794"/>
            <w:vAlign w:val="center"/>
          </w:tcPr>
          <w:p>
            <w:pPr>
              <w:spacing w:after="0"/>
              <w:jc w:val="center"/>
            </w:pPr>
            <w:r>
              <w:rPr>
                <w:rFonts w:ascii="游ゴシック" w:hAnsi="游ゴシック" w:eastAsia="游ゴシック"/>
                <w:b w:val="0"/>
                <w:sz w:val="18"/>
              </w:rPr>
              <w:t>No.42</w:t>
            </w:r>
          </w:p>
        </w:tc>
        <w:tc>
          <w:tcPr>
            <w:tcW w:type="dxa" w:w="2948"/>
            <w:vAlign w:val="center"/>
          </w:tcPr>
          <w:p>
            <w:pPr>
              <w:spacing w:after="0"/>
            </w:pPr>
            <w:r>
              <w:rPr>
                <w:rFonts w:ascii="游ゴシック" w:hAnsi="游ゴシック" w:eastAsia="游ゴシック"/>
                <w:b w:val="0"/>
                <w:sz w:val="18"/>
              </w:rPr>
              <w:t>キックオフ会議資料への工程表の反映</w:t>
            </w:r>
          </w:p>
        </w:tc>
        <w:tc>
          <w:tcPr>
            <w:tcW w:type="dxa" w:w="4876"/>
            <w:vAlign w:val="center"/>
          </w:tcPr>
          <w:p>
            <w:pPr>
              <w:spacing w:after="0"/>
            </w:pPr>
            <w:r>
              <w:rPr>
                <w:rFonts w:ascii="游ゴシック" w:hAnsi="游ゴシック" w:eastAsia="游ゴシック"/>
                <w:b w:val="0"/>
                <w:sz w:val="18"/>
              </w:rPr>
              <w:t>現行の工程表のまま進める</w:t>
            </w:r>
          </w:p>
        </w:tc>
        <w:tc>
          <w:tcPr>
            <w:tcW w:type="dxa" w:w="1134"/>
            <w:vAlign w:val="center"/>
          </w:tcPr>
          <w:p>
            <w:pPr>
              <w:spacing w:after="0"/>
              <w:jc w:val="center"/>
            </w:pPr>
            <w:r>
              <w:rPr>
                <w:rFonts w:ascii="游ゴシック" w:hAnsi="游ゴシック" w:eastAsia="游ゴシック"/>
                <w:b w:val="0"/>
                <w:sz w:val="18"/>
              </w:rPr>
              <w:t>R8.8</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No.11</w:t>
            </w:r>
          </w:p>
        </w:tc>
        <w:tc>
          <w:tcPr>
            <w:tcW w:type="dxa" w:w="2948"/>
            <w:shd w:val="clear" w:color="auto" w:fill="F2F5FA"/>
            <w:vAlign w:val="center"/>
          </w:tcPr>
          <w:p>
            <w:pPr>
              <w:spacing w:after="0"/>
            </w:pPr>
            <w:r>
              <w:rPr>
                <w:rFonts w:ascii="游ゴシック" w:hAnsi="游ゴシック" w:eastAsia="游ゴシック"/>
                <w:b w:val="0"/>
                <w:sz w:val="18"/>
              </w:rPr>
              <w:t>町別の人口・世帯データ</w:t>
            </w:r>
          </w:p>
        </w:tc>
        <w:tc>
          <w:tcPr>
            <w:tcW w:type="dxa" w:w="4876"/>
            <w:shd w:val="clear" w:color="auto" w:fill="F2F5FA"/>
            <w:vAlign w:val="center"/>
          </w:tcPr>
          <w:p>
            <w:pPr>
              <w:spacing w:after="0"/>
            </w:pPr>
            <w:r>
              <w:rPr>
                <w:rFonts w:ascii="游ゴシック" w:hAnsi="游ゴシック" w:eastAsia="游ゴシック"/>
                <w:b w:val="0"/>
                <w:sz w:val="18"/>
              </w:rPr>
              <w:t>住民基本台帳（各年1月1日現在）の町別人口により本文を確定する</w:t>
            </w:r>
          </w:p>
        </w:tc>
        <w:tc>
          <w:tcPr>
            <w:tcW w:type="dxa" w:w="1134"/>
            <w:shd w:val="clear" w:color="auto" w:fill="F2F5FA"/>
            <w:vAlign w:val="center"/>
          </w:tcPr>
          <w:p>
            <w:pPr>
              <w:spacing w:after="0"/>
              <w:jc w:val="center"/>
            </w:pPr>
            <w:r>
              <w:rPr>
                <w:rFonts w:ascii="游ゴシック" w:hAnsi="游ゴシック" w:eastAsia="游ゴシック"/>
                <w:b w:val="0"/>
                <w:sz w:val="18"/>
              </w:rPr>
              <w:t>R8.9</w:t>
            </w:r>
          </w:p>
        </w:tc>
      </w:tr>
      <w:tr>
        <w:trPr>
          <w:cantSplit/>
        </w:trPr>
        <w:tc>
          <w:tcPr>
            <w:tcW w:type="dxa" w:w="794"/>
            <w:vAlign w:val="center"/>
          </w:tcPr>
          <w:p>
            <w:pPr>
              <w:spacing w:after="0"/>
              <w:jc w:val="center"/>
            </w:pPr>
            <w:r>
              <w:rPr>
                <w:rFonts w:ascii="游ゴシック" w:hAnsi="游ゴシック" w:eastAsia="游ゴシック"/>
                <w:b w:val="0"/>
                <w:sz w:val="18"/>
              </w:rPr>
              <w:t>No.12</w:t>
            </w:r>
          </w:p>
        </w:tc>
        <w:tc>
          <w:tcPr>
            <w:tcW w:type="dxa" w:w="2948"/>
            <w:vAlign w:val="center"/>
          </w:tcPr>
          <w:p>
            <w:pPr>
              <w:spacing w:after="0"/>
            </w:pPr>
            <w:r>
              <w:rPr>
                <w:rFonts w:ascii="游ゴシック" w:hAnsi="游ゴシック" w:eastAsia="游ゴシック"/>
                <w:b w:val="0"/>
                <w:sz w:val="18"/>
              </w:rPr>
              <w:t>日常生活圏域別のデータ</w:t>
            </w:r>
          </w:p>
        </w:tc>
        <w:tc>
          <w:tcPr>
            <w:tcW w:type="dxa" w:w="4876"/>
            <w:vAlign w:val="center"/>
          </w:tcPr>
          <w:p>
            <w:pPr>
              <w:spacing w:after="0"/>
            </w:pPr>
            <w:r>
              <w:rPr>
                <w:rFonts w:ascii="游ゴシック" w:hAnsi="游ゴシック" w:eastAsia="游ゴシック"/>
                <w:b w:val="0"/>
                <w:sz w:val="18"/>
              </w:rPr>
              <w:t>日常生活圏域を3町（3圏域）とする案のまま概算する</w:t>
            </w:r>
          </w:p>
        </w:tc>
        <w:tc>
          <w:tcPr>
            <w:tcW w:type="dxa" w:w="1134"/>
            <w:vAlign w:val="center"/>
          </w:tcPr>
          <w:p>
            <w:pPr>
              <w:spacing w:after="0"/>
              <w:jc w:val="center"/>
            </w:pPr>
            <w:r>
              <w:rPr>
                <w:rFonts w:ascii="游ゴシック" w:hAnsi="游ゴシック" w:eastAsia="游ゴシック"/>
                <w:b w:val="0"/>
                <w:sz w:val="18"/>
              </w:rPr>
              <w:t>R8.9</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No.40</w:t>
            </w:r>
          </w:p>
        </w:tc>
        <w:tc>
          <w:tcPr>
            <w:tcW w:type="dxa" w:w="2948"/>
            <w:shd w:val="clear" w:color="auto" w:fill="F2F5FA"/>
            <w:vAlign w:val="center"/>
          </w:tcPr>
          <w:p>
            <w:pPr>
              <w:spacing w:after="0"/>
            </w:pPr>
            <w:r>
              <w:rPr>
                <w:rFonts w:ascii="游ゴシック" w:hAnsi="游ゴシック" w:eastAsia="游ゴシック"/>
                <w:b w:val="0"/>
                <w:sz w:val="18"/>
              </w:rPr>
              <w:t>社会資源一覧の従業員数の重複計上の扱い</w:t>
            </w:r>
          </w:p>
        </w:tc>
        <w:tc>
          <w:tcPr>
            <w:tcW w:type="dxa" w:w="4876"/>
            <w:shd w:val="clear" w:color="auto" w:fill="F2F5FA"/>
            <w:vAlign w:val="center"/>
          </w:tcPr>
          <w:p>
            <w:pPr>
              <w:spacing w:after="0"/>
            </w:pPr>
            <w:r>
              <w:rPr>
                <w:rFonts w:ascii="游ゴシック" w:hAnsi="游ゴシック" w:eastAsia="游ゴシック"/>
                <w:b w:val="0"/>
                <w:sz w:val="18"/>
              </w:rPr>
              <w:t>同一法人の重複計上分を除いた採用83人・離職65人を用いる</w:t>
            </w:r>
          </w:p>
        </w:tc>
        <w:tc>
          <w:tcPr>
            <w:tcW w:type="dxa" w:w="1134"/>
            <w:shd w:val="clear" w:color="auto" w:fill="F2F5FA"/>
            <w:vAlign w:val="center"/>
          </w:tcPr>
          <w:p>
            <w:pPr>
              <w:spacing w:after="0"/>
              <w:jc w:val="center"/>
            </w:pPr>
            <w:r>
              <w:rPr>
                <w:rFonts w:ascii="游ゴシック" w:hAnsi="游ゴシック" w:eastAsia="游ゴシック"/>
                <w:b w:val="0"/>
                <w:sz w:val="18"/>
              </w:rPr>
              <w:t>R8.9</w:t>
            </w:r>
          </w:p>
        </w:tc>
      </w:tr>
      <w:tr>
        <w:trPr>
          <w:cantSplit/>
        </w:trPr>
        <w:tc>
          <w:tcPr>
            <w:tcW w:type="dxa" w:w="794"/>
            <w:vAlign w:val="center"/>
          </w:tcPr>
          <w:p>
            <w:pPr>
              <w:spacing w:after="0"/>
              <w:jc w:val="center"/>
            </w:pPr>
            <w:r>
              <w:rPr>
                <w:rFonts w:ascii="游ゴシック" w:hAnsi="游ゴシック" w:eastAsia="游ゴシック"/>
                <w:b w:val="0"/>
                <w:sz w:val="18"/>
              </w:rPr>
              <w:t>No.73</w:t>
            </w:r>
          </w:p>
        </w:tc>
        <w:tc>
          <w:tcPr>
            <w:tcW w:type="dxa" w:w="2948"/>
            <w:vAlign w:val="center"/>
          </w:tcPr>
          <w:p>
            <w:pPr>
              <w:spacing w:after="0"/>
            </w:pPr>
            <w:r>
              <w:rPr>
                <w:rFonts w:ascii="游ゴシック" w:hAnsi="游ゴシック" w:eastAsia="游ゴシック"/>
                <w:b w:val="0"/>
                <w:sz w:val="18"/>
              </w:rPr>
              <w:t>ケアプラン点検実施要領（案）の確定に要する事項</w:t>
            </w:r>
          </w:p>
        </w:tc>
        <w:tc>
          <w:tcPr>
            <w:tcW w:type="dxa" w:w="4876"/>
            <w:vAlign w:val="center"/>
          </w:tcPr>
          <w:p>
            <w:pPr>
              <w:spacing w:after="0"/>
            </w:pPr>
            <w:r>
              <w:rPr>
                <w:rFonts w:ascii="游ゴシック" w:hAnsi="游ゴシック" w:eastAsia="游ゴシック"/>
                <w:b w:val="0"/>
                <w:sz w:val="18"/>
              </w:rPr>
              <w:t>ケアプラン点検実施要領（案）は協議資料にとどめ素案に入れない</w:t>
            </w:r>
          </w:p>
        </w:tc>
        <w:tc>
          <w:tcPr>
            <w:tcW w:type="dxa" w:w="1134"/>
            <w:vAlign w:val="center"/>
          </w:tcPr>
          <w:p>
            <w:pPr>
              <w:spacing w:after="0"/>
              <w:jc w:val="center"/>
            </w:pPr>
            <w:r>
              <w:rPr>
                <w:rFonts w:ascii="游ゴシック" w:hAnsi="游ゴシック" w:eastAsia="游ゴシック"/>
                <w:b w:val="0"/>
                <w:sz w:val="18"/>
              </w:rPr>
              <w:t>R8.9</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No.83</w:t>
            </w:r>
          </w:p>
        </w:tc>
        <w:tc>
          <w:tcPr>
            <w:tcW w:type="dxa" w:w="2948"/>
            <w:shd w:val="clear" w:color="auto" w:fill="F2F5FA"/>
            <w:vAlign w:val="center"/>
          </w:tcPr>
          <w:p>
            <w:pPr>
              <w:spacing w:after="0"/>
            </w:pPr>
            <w:r>
              <w:rPr>
                <w:rFonts w:ascii="游ゴシック" w:hAnsi="游ゴシック" w:eastAsia="游ゴシック"/>
                <w:b w:val="0"/>
                <w:sz w:val="18"/>
              </w:rPr>
              <w:t>構成町との意見交換会の実施方法と町別データシート</w:t>
            </w:r>
          </w:p>
        </w:tc>
        <w:tc>
          <w:tcPr>
            <w:tcW w:type="dxa" w:w="4876"/>
            <w:shd w:val="clear" w:color="auto" w:fill="F2F5FA"/>
            <w:vAlign w:val="center"/>
          </w:tcPr>
          <w:p>
            <w:pPr>
              <w:spacing w:after="0"/>
            </w:pPr>
            <w:r>
              <w:rPr>
                <w:rFonts w:ascii="游ゴシック" w:hAnsi="游ゴシック" w:eastAsia="游ゴシック"/>
                <w:b w:val="0"/>
                <w:sz w:val="18"/>
              </w:rPr>
              <w:t>3町合同の意見交換会（10月上旬）と町ごとの個別協議（10月中旬〜下旬）の2段構えで進める</w:t>
            </w:r>
          </w:p>
        </w:tc>
        <w:tc>
          <w:tcPr>
            <w:tcW w:type="dxa" w:w="1134"/>
            <w:shd w:val="clear" w:color="auto" w:fill="F2F5FA"/>
            <w:vAlign w:val="center"/>
          </w:tcPr>
          <w:p>
            <w:pPr>
              <w:spacing w:after="0"/>
              <w:jc w:val="center"/>
            </w:pPr>
            <w:r>
              <w:rPr>
                <w:rFonts w:ascii="游ゴシック" w:hAnsi="游ゴシック" w:eastAsia="游ゴシック"/>
                <w:b w:val="0"/>
                <w:sz w:val="18"/>
              </w:rPr>
              <w:t>R8.9</w:t>
            </w:r>
          </w:p>
        </w:tc>
      </w:tr>
      <w:tr>
        <w:trPr>
          <w:cantSplit/>
        </w:trPr>
        <w:tc>
          <w:tcPr>
            <w:tcW w:type="dxa" w:w="794"/>
            <w:vAlign w:val="center"/>
          </w:tcPr>
          <w:p>
            <w:pPr>
              <w:spacing w:after="0"/>
              <w:jc w:val="center"/>
            </w:pPr>
            <w:r>
              <w:rPr>
                <w:rFonts w:ascii="游ゴシック" w:hAnsi="游ゴシック" w:eastAsia="游ゴシック"/>
                <w:b w:val="0"/>
                <w:sz w:val="18"/>
              </w:rPr>
              <w:t>No.85</w:t>
            </w:r>
          </w:p>
        </w:tc>
        <w:tc>
          <w:tcPr>
            <w:tcW w:type="dxa" w:w="2948"/>
            <w:vAlign w:val="center"/>
          </w:tcPr>
          <w:p>
            <w:pPr>
              <w:spacing w:after="0"/>
            </w:pPr>
            <w:r>
              <w:rPr>
                <w:rFonts w:ascii="游ゴシック" w:hAnsi="游ゴシック" w:eastAsia="游ゴシック"/>
                <w:b w:val="0"/>
                <w:sz w:val="18"/>
              </w:rPr>
              <w:t>町別データシートの内容と配付</w:t>
            </w:r>
          </w:p>
        </w:tc>
        <w:tc>
          <w:tcPr>
            <w:tcW w:type="dxa" w:w="4876"/>
            <w:vAlign w:val="center"/>
          </w:tcPr>
          <w:p>
            <w:pPr>
              <w:spacing w:after="0"/>
            </w:pPr>
            <w:r>
              <w:rPr>
                <w:rFonts w:ascii="游ゴシック" w:hAnsi="游ゴシック" w:eastAsia="游ゴシック"/>
                <w:b w:val="0"/>
                <w:sz w:val="18"/>
              </w:rPr>
              <w:t>町別データシートは現行の内容のまま配付する</w:t>
            </w:r>
          </w:p>
        </w:tc>
        <w:tc>
          <w:tcPr>
            <w:tcW w:type="dxa" w:w="1134"/>
            <w:vAlign w:val="center"/>
          </w:tcPr>
          <w:p>
            <w:pPr>
              <w:spacing w:after="0"/>
              <w:jc w:val="center"/>
            </w:pPr>
            <w:r>
              <w:rPr>
                <w:rFonts w:ascii="游ゴシック" w:hAnsi="游ゴシック" w:eastAsia="游ゴシック"/>
                <w:b w:val="0"/>
                <w:sz w:val="18"/>
              </w:rPr>
              <w:t>R8.9</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No.96</w:t>
            </w:r>
          </w:p>
        </w:tc>
        <w:tc>
          <w:tcPr>
            <w:tcW w:type="dxa" w:w="2948"/>
            <w:shd w:val="clear" w:color="auto" w:fill="F2F5FA"/>
            <w:vAlign w:val="center"/>
          </w:tcPr>
          <w:p>
            <w:pPr>
              <w:spacing w:after="0"/>
            </w:pPr>
            <w:r>
              <w:rPr>
                <w:rFonts w:ascii="游ゴシック" w:hAnsi="游ゴシック" w:eastAsia="游ゴシック"/>
                <w:b w:val="0"/>
                <w:sz w:val="18"/>
              </w:rPr>
              <w:t>認知症対応型共同生活介護の共同生活住居数と、くるみの郷の定員</w:t>
            </w:r>
          </w:p>
        </w:tc>
        <w:tc>
          <w:tcPr>
            <w:tcW w:type="dxa" w:w="4876"/>
            <w:shd w:val="clear" w:color="auto" w:fill="F2F5FA"/>
            <w:vAlign w:val="center"/>
          </w:tcPr>
          <w:p>
            <w:pPr>
              <w:spacing w:after="0"/>
            </w:pPr>
            <w:r>
              <w:rPr>
                <w:rFonts w:ascii="游ゴシック" w:hAnsi="游ゴシック" w:eastAsia="游ゴシック"/>
                <w:b w:val="0"/>
                <w:sz w:val="18"/>
              </w:rPr>
              <w:t>認知症対応型共同生活介護の定員は99人＋［要確認］のまま掲げる</w:t>
            </w:r>
          </w:p>
        </w:tc>
        <w:tc>
          <w:tcPr>
            <w:tcW w:type="dxa" w:w="1134"/>
            <w:shd w:val="clear" w:color="auto" w:fill="F2F5FA"/>
            <w:vAlign w:val="center"/>
          </w:tcPr>
          <w:p>
            <w:pPr>
              <w:spacing w:after="0"/>
              <w:jc w:val="center"/>
            </w:pPr>
            <w:r>
              <w:rPr>
                <w:rFonts w:ascii="游ゴシック" w:hAnsi="游ゴシック" w:eastAsia="游ゴシック"/>
                <w:b w:val="0"/>
                <w:sz w:val="18"/>
              </w:rPr>
              <w:t>R8.9</w:t>
            </w:r>
          </w:p>
        </w:tc>
      </w:tr>
      <w:tr>
        <w:trPr>
          <w:cantSplit/>
        </w:trPr>
        <w:tc>
          <w:tcPr>
            <w:tcW w:type="dxa" w:w="794"/>
            <w:vAlign w:val="center"/>
          </w:tcPr>
          <w:p>
            <w:pPr>
              <w:spacing w:after="0"/>
              <w:jc w:val="center"/>
            </w:pPr>
            <w:r>
              <w:rPr>
                <w:rFonts w:ascii="游ゴシック" w:hAnsi="游ゴシック" w:eastAsia="游ゴシック"/>
                <w:b w:val="0"/>
                <w:sz w:val="18"/>
              </w:rPr>
              <w:t>No.130</w:t>
            </w:r>
          </w:p>
        </w:tc>
        <w:tc>
          <w:tcPr>
            <w:tcW w:type="dxa" w:w="2948"/>
            <w:vAlign w:val="center"/>
          </w:tcPr>
          <w:p>
            <w:pPr>
              <w:spacing w:after="0"/>
            </w:pPr>
            <w:r>
              <w:rPr>
                <w:rFonts w:ascii="游ゴシック" w:hAnsi="游ゴシック" w:eastAsia="游ゴシック"/>
                <w:b w:val="0"/>
                <w:sz w:val="18"/>
              </w:rPr>
              <w:t>認知症基本法第13条の市町村認知症施策推進計画をどう扱うか</w:t>
            </w:r>
          </w:p>
        </w:tc>
        <w:tc>
          <w:tcPr>
            <w:tcW w:type="dxa" w:w="4876"/>
            <w:vAlign w:val="center"/>
          </w:tcPr>
          <w:p>
            <w:pPr>
              <w:spacing w:after="0"/>
            </w:pPr>
            <w:r>
              <w:rPr>
                <w:rFonts w:ascii="游ゴシック" w:hAnsi="游ゴシック" w:eastAsia="游ゴシック"/>
                <w:b w:val="0"/>
                <w:sz w:val="18"/>
              </w:rPr>
              <w:t>案B（3町がそれぞれ市町村計画を策定する）のまま素案に反映する</w:t>
            </w:r>
          </w:p>
        </w:tc>
        <w:tc>
          <w:tcPr>
            <w:tcW w:type="dxa" w:w="1134"/>
            <w:vAlign w:val="center"/>
          </w:tcPr>
          <w:p>
            <w:pPr>
              <w:spacing w:after="0"/>
              <w:jc w:val="center"/>
            </w:pPr>
            <w:r>
              <w:rPr>
                <w:rFonts w:ascii="游ゴシック" w:hAnsi="游ゴシック" w:eastAsia="游ゴシック"/>
                <w:b w:val="0"/>
                <w:sz w:val="18"/>
              </w:rPr>
              <w:t>R8.9</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No.13</w:t>
            </w:r>
          </w:p>
        </w:tc>
        <w:tc>
          <w:tcPr>
            <w:tcW w:type="dxa" w:w="2948"/>
            <w:shd w:val="clear" w:color="auto" w:fill="F2F5FA"/>
            <w:vAlign w:val="center"/>
          </w:tcPr>
          <w:p>
            <w:pPr>
              <w:spacing w:after="0"/>
            </w:pPr>
            <w:r>
              <w:rPr>
                <w:rFonts w:ascii="游ゴシック" w:hAnsi="游ゴシック" w:eastAsia="游ゴシック"/>
                <w:b w:val="0"/>
                <w:sz w:val="18"/>
              </w:rPr>
              <w:t>訪問・通所困難地域の判定資料</w:t>
            </w:r>
          </w:p>
        </w:tc>
        <w:tc>
          <w:tcPr>
            <w:tcW w:type="dxa" w:w="4876"/>
            <w:shd w:val="clear" w:color="auto" w:fill="F2F5FA"/>
            <w:vAlign w:val="center"/>
          </w:tcPr>
          <w:p>
            <w:pPr>
              <w:spacing w:after="0"/>
            </w:pPr>
            <w:r>
              <w:rPr>
                <w:rFonts w:ascii="游ゴシック" w:hAnsi="游ゴシック" w:eastAsia="游ゴシック"/>
                <w:b w:val="0"/>
                <w:sz w:val="18"/>
              </w:rPr>
              <w:t>北海道の指定事業所一覧の「通常の事業の実施地域」により判定する</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794"/>
            <w:vAlign w:val="center"/>
          </w:tcPr>
          <w:p>
            <w:pPr>
              <w:spacing w:after="0"/>
              <w:jc w:val="center"/>
            </w:pPr>
            <w:r>
              <w:rPr>
                <w:rFonts w:ascii="游ゴシック" w:hAnsi="游ゴシック" w:eastAsia="游ゴシック"/>
                <w:b w:val="0"/>
                <w:sz w:val="18"/>
              </w:rPr>
              <w:t>No.17</w:t>
            </w:r>
          </w:p>
        </w:tc>
        <w:tc>
          <w:tcPr>
            <w:tcW w:type="dxa" w:w="2948"/>
            <w:vAlign w:val="center"/>
          </w:tcPr>
          <w:p>
            <w:pPr>
              <w:spacing w:after="0"/>
            </w:pPr>
            <w:r>
              <w:rPr>
                <w:rFonts w:ascii="游ゴシック" w:hAnsi="游ゴシック" w:eastAsia="游ゴシック"/>
                <w:b w:val="0"/>
                <w:sz w:val="18"/>
              </w:rPr>
              <w:t>3町計画への共通指標の掲載</w:t>
            </w:r>
          </w:p>
        </w:tc>
        <w:tc>
          <w:tcPr>
            <w:tcW w:type="dxa" w:w="4876"/>
            <w:vAlign w:val="center"/>
          </w:tcPr>
          <w:p>
            <w:pPr>
              <w:spacing w:after="0"/>
            </w:pPr>
            <w:r>
              <w:rPr>
                <w:rFonts w:ascii="游ゴシック" w:hAnsi="游ゴシック" w:eastAsia="游ゴシック"/>
                <w:b w:val="0"/>
                <w:sz w:val="18"/>
              </w:rPr>
              <w:t>広域連合の代表KPI16項目を掲げ、3町計画への掲載は求めない</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No.23</w:t>
            </w:r>
          </w:p>
        </w:tc>
        <w:tc>
          <w:tcPr>
            <w:tcW w:type="dxa" w:w="2948"/>
            <w:shd w:val="clear" w:color="auto" w:fill="F2F5FA"/>
            <w:vAlign w:val="center"/>
          </w:tcPr>
          <w:p>
            <w:pPr>
              <w:spacing w:after="0"/>
            </w:pPr>
            <w:r>
              <w:rPr>
                <w:rFonts w:ascii="游ゴシック" w:hAnsi="游ゴシック" w:eastAsia="游ゴシック"/>
                <w:b w:val="0"/>
                <w:sz w:val="18"/>
              </w:rPr>
              <w:t>事業所の定員・稼働率データ</w:t>
            </w:r>
          </w:p>
        </w:tc>
        <w:tc>
          <w:tcPr>
            <w:tcW w:type="dxa" w:w="4876"/>
            <w:shd w:val="clear" w:color="auto" w:fill="F2F5FA"/>
            <w:vAlign w:val="center"/>
          </w:tcPr>
          <w:p>
            <w:pPr>
              <w:spacing w:after="0"/>
            </w:pPr>
            <w:r>
              <w:rPr>
                <w:rFonts w:ascii="游ゴシック" w:hAnsi="游ゴシック" w:eastAsia="游ゴシック"/>
                <w:b w:val="0"/>
                <w:sz w:val="18"/>
              </w:rPr>
              <w:t>北海道の各名簿及び介護サービス情報公表システムの定員による</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794"/>
            <w:vAlign w:val="center"/>
          </w:tcPr>
          <w:p>
            <w:pPr>
              <w:spacing w:after="0"/>
              <w:jc w:val="center"/>
            </w:pPr>
            <w:r>
              <w:rPr>
                <w:rFonts w:ascii="游ゴシック" w:hAnsi="游ゴシック" w:eastAsia="游ゴシック"/>
                <w:b w:val="0"/>
                <w:sz w:val="18"/>
              </w:rPr>
              <w:t>No.26</w:t>
            </w:r>
          </w:p>
        </w:tc>
        <w:tc>
          <w:tcPr>
            <w:tcW w:type="dxa" w:w="2948"/>
            <w:vAlign w:val="center"/>
          </w:tcPr>
          <w:p>
            <w:pPr>
              <w:spacing w:after="0"/>
            </w:pPr>
            <w:r>
              <w:rPr>
                <w:rFonts w:ascii="游ゴシック" w:hAnsi="游ゴシック" w:eastAsia="游ゴシック"/>
                <w:b w:val="0"/>
                <w:sz w:val="18"/>
              </w:rPr>
              <w:t>認知症・医療介護連携の実績データ</w:t>
            </w:r>
          </w:p>
        </w:tc>
        <w:tc>
          <w:tcPr>
            <w:tcW w:type="dxa" w:w="4876"/>
            <w:vAlign w:val="center"/>
          </w:tcPr>
          <w:p>
            <w:pPr>
              <w:spacing w:after="0"/>
            </w:pPr>
            <w:r>
              <w:rPr>
                <w:rFonts w:ascii="游ゴシック" w:hAnsi="游ゴシック" w:eastAsia="游ゴシック"/>
                <w:b w:val="0"/>
                <w:sz w:val="18"/>
              </w:rPr>
              <w:t>現に受領している交付金評価結果と実施報告書の範囲で記述する</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No.108</w:t>
            </w:r>
          </w:p>
        </w:tc>
        <w:tc>
          <w:tcPr>
            <w:tcW w:type="dxa" w:w="2948"/>
            <w:shd w:val="clear" w:color="auto" w:fill="F2F5FA"/>
            <w:vAlign w:val="center"/>
          </w:tcPr>
          <w:p>
            <w:pPr>
              <w:spacing w:after="0"/>
            </w:pPr>
            <w:r>
              <w:rPr>
                <w:rFonts w:ascii="游ゴシック" w:hAnsi="游ゴシック" w:eastAsia="游ゴシック"/>
                <w:b w:val="0"/>
                <w:sz w:val="18"/>
              </w:rPr>
              <w:t>補正しても外れるサービス6件の理由</w:t>
            </w:r>
          </w:p>
        </w:tc>
        <w:tc>
          <w:tcPr>
            <w:tcW w:type="dxa" w:w="4876"/>
            <w:shd w:val="clear" w:color="auto" w:fill="F2F5FA"/>
            <w:vAlign w:val="center"/>
          </w:tcPr>
          <w:p>
            <w:pPr>
              <w:spacing w:after="0"/>
            </w:pPr>
            <w:r>
              <w:rPr>
                <w:rFonts w:ascii="游ゴシック" w:hAnsi="游ゴシック" w:eastAsia="游ゴシック"/>
                <w:b w:val="0"/>
                <w:sz w:val="18"/>
              </w:rPr>
              <w:t>補正しても外れる6件は趨勢ではなく供給・制度の問題として注記する</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794"/>
            <w:vAlign w:val="center"/>
          </w:tcPr>
          <w:p>
            <w:pPr>
              <w:spacing w:after="0"/>
              <w:jc w:val="center"/>
            </w:pPr>
            <w:r>
              <w:rPr>
                <w:rFonts w:ascii="游ゴシック" w:hAnsi="游ゴシック" w:eastAsia="游ゴシック"/>
                <w:b w:val="0"/>
                <w:sz w:val="18"/>
              </w:rPr>
              <w:t>No.111</w:t>
            </w:r>
          </w:p>
        </w:tc>
        <w:tc>
          <w:tcPr>
            <w:tcW w:type="dxa" w:w="2948"/>
            <w:vAlign w:val="center"/>
          </w:tcPr>
          <w:p>
            <w:pPr>
              <w:spacing w:after="0"/>
            </w:pPr>
            <w:r>
              <w:rPr>
                <w:rFonts w:ascii="游ゴシック" w:hAnsi="游ゴシック" w:eastAsia="游ゴシック"/>
                <w:b w:val="0"/>
                <w:sz w:val="18"/>
              </w:rPr>
              <w:t>過年度の趨勢に現れない要因の扱い（認知症施策・高齢者向け住まいほか）</w:t>
            </w:r>
          </w:p>
        </w:tc>
        <w:tc>
          <w:tcPr>
            <w:tcW w:type="dxa" w:w="4876"/>
            <w:vAlign w:val="center"/>
          </w:tcPr>
          <w:p>
            <w:pPr>
              <w:spacing w:after="0"/>
            </w:pPr>
            <w:r>
              <w:rPr>
                <w:rFonts w:ascii="游ゴシック" w:hAnsi="游ゴシック" w:eastAsia="游ゴシック"/>
                <w:b w:val="0"/>
                <w:sz w:val="18"/>
              </w:rPr>
              <w:t>趨勢に現れない要因は向きのみを注記し、数値には織り込まない</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No.119</w:t>
            </w:r>
          </w:p>
        </w:tc>
        <w:tc>
          <w:tcPr>
            <w:tcW w:type="dxa" w:w="2948"/>
            <w:shd w:val="clear" w:color="auto" w:fill="F2F5FA"/>
            <w:vAlign w:val="center"/>
          </w:tcPr>
          <w:p>
            <w:pPr>
              <w:spacing w:after="0"/>
            </w:pPr>
            <w:r>
              <w:rPr>
                <w:rFonts w:ascii="游ゴシック" w:hAnsi="游ゴシック" w:eastAsia="游ゴシック"/>
                <w:b w:val="0"/>
                <w:sz w:val="18"/>
              </w:rPr>
              <w:t>地域ケア会議の3町共通の記録様式を整えてよいか</w:t>
            </w:r>
          </w:p>
        </w:tc>
        <w:tc>
          <w:tcPr>
            <w:tcW w:type="dxa" w:w="4876"/>
            <w:shd w:val="clear" w:color="auto" w:fill="F2F5FA"/>
            <w:vAlign w:val="center"/>
          </w:tcPr>
          <w:p>
            <w:pPr>
              <w:spacing w:after="0"/>
            </w:pPr>
            <w:r>
              <w:rPr>
                <w:rFonts w:ascii="游ゴシック" w:hAnsi="游ゴシック" w:eastAsia="游ゴシック"/>
                <w:b w:val="0"/>
                <w:sz w:val="18"/>
              </w:rPr>
              <w:t>地域ケア会議の記録様式は協議資料にとどめ、令和9年度に整える</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794"/>
            <w:vAlign w:val="center"/>
          </w:tcPr>
          <w:p>
            <w:pPr>
              <w:spacing w:after="0"/>
              <w:jc w:val="center"/>
            </w:pPr>
            <w:r>
              <w:rPr>
                <w:rFonts w:ascii="游ゴシック" w:hAnsi="游ゴシック" w:eastAsia="游ゴシック"/>
                <w:b w:val="0"/>
                <w:sz w:val="18"/>
              </w:rPr>
              <w:t>No.120</w:t>
            </w:r>
          </w:p>
        </w:tc>
        <w:tc>
          <w:tcPr>
            <w:tcW w:type="dxa" w:w="2948"/>
            <w:vAlign w:val="center"/>
          </w:tcPr>
          <w:p>
            <w:pPr>
              <w:spacing w:after="0"/>
            </w:pPr>
            <w:r>
              <w:rPr>
                <w:rFonts w:ascii="游ゴシック" w:hAnsi="游ゴシック" w:eastAsia="游ゴシック"/>
                <w:b w:val="0"/>
                <w:sz w:val="18"/>
              </w:rPr>
              <w:t>地域ケア個別会議と地域ケア推進会議を分けて計数するか</w:t>
            </w:r>
          </w:p>
        </w:tc>
        <w:tc>
          <w:tcPr>
            <w:tcW w:type="dxa" w:w="4876"/>
            <w:vAlign w:val="center"/>
          </w:tcPr>
          <w:p>
            <w:pPr>
              <w:spacing w:after="0"/>
            </w:pPr>
            <w:r>
              <w:rPr>
                <w:rFonts w:ascii="游ゴシック" w:hAnsi="游ゴシック" w:eastAsia="游ゴシック"/>
                <w:b w:val="0"/>
                <w:sz w:val="18"/>
              </w:rPr>
              <w:t>地域ケア個別会議と地域ケア推進会議を分けずに計数する</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No.121</w:t>
            </w:r>
          </w:p>
        </w:tc>
        <w:tc>
          <w:tcPr>
            <w:tcW w:type="dxa" w:w="2948"/>
            <w:shd w:val="clear" w:color="auto" w:fill="F2F5FA"/>
            <w:vAlign w:val="center"/>
          </w:tcPr>
          <w:p>
            <w:pPr>
              <w:spacing w:after="0"/>
            </w:pPr>
            <w:r>
              <w:rPr>
                <w:rFonts w:ascii="游ゴシック" w:hAnsi="游ゴシック" w:eastAsia="游ゴシック"/>
                <w:b w:val="0"/>
                <w:sz w:val="18"/>
              </w:rPr>
              <w:t>3町の地域ケア会議の実績（令和6〜8年度）のご提供</w:t>
            </w:r>
          </w:p>
        </w:tc>
        <w:tc>
          <w:tcPr>
            <w:tcW w:type="dxa" w:w="4876"/>
            <w:shd w:val="clear" w:color="auto" w:fill="F2F5FA"/>
            <w:vAlign w:val="center"/>
          </w:tcPr>
          <w:p>
            <w:pPr>
              <w:spacing w:after="0"/>
            </w:pPr>
            <w:r>
              <w:rPr>
                <w:rFonts w:ascii="游ゴシック" w:hAnsi="游ゴシック" w:eastAsia="游ゴシック"/>
                <w:b w:val="0"/>
                <w:sz w:val="18"/>
              </w:rPr>
              <w:t>令和7年度の実施報告書により把握できる範囲で記述する</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794"/>
            <w:vAlign w:val="center"/>
          </w:tcPr>
          <w:p>
            <w:pPr>
              <w:spacing w:after="0"/>
              <w:jc w:val="center"/>
            </w:pPr>
            <w:r>
              <w:rPr>
                <w:rFonts w:ascii="游ゴシック" w:hAnsi="游ゴシック" w:eastAsia="游ゴシック"/>
                <w:b w:val="0"/>
                <w:sz w:val="18"/>
              </w:rPr>
              <w:t>No.169</w:t>
            </w:r>
          </w:p>
        </w:tc>
        <w:tc>
          <w:tcPr>
            <w:tcW w:type="dxa" w:w="2948"/>
            <w:vAlign w:val="center"/>
          </w:tcPr>
          <w:p>
            <w:pPr>
              <w:spacing w:after="0"/>
            </w:pPr>
            <w:r>
              <w:rPr>
                <w:rFonts w:ascii="游ゴシック" w:hAnsi="游ゴシック" w:eastAsia="游ゴシック"/>
                <w:b w:val="0"/>
                <w:sz w:val="18"/>
              </w:rPr>
              <w:t>構成町により得点が分かれている項目の区域内での取扱い</w:t>
            </w:r>
          </w:p>
        </w:tc>
        <w:tc>
          <w:tcPr>
            <w:tcW w:type="dxa" w:w="4876"/>
            <w:vAlign w:val="center"/>
          </w:tcPr>
          <w:p>
            <w:pPr>
              <w:spacing w:after="0"/>
            </w:pPr>
            <w:r>
              <w:rPr>
                <w:rFonts w:ascii="游ゴシック" w:hAnsi="游ゴシック" w:eastAsia="游ゴシック"/>
                <w:b w:val="0"/>
                <w:sz w:val="18"/>
              </w:rPr>
              <w:t>町ごとの取組の状況をそのまま記述し、区域内での統一は計画に位置づけない。第10期の施策に位置づけるかどうかは取組の必要性から判断するものであり、得点のみを理由とするものではない</w:t>
            </w:r>
          </w:p>
        </w:tc>
        <w:tc>
          <w:tcPr>
            <w:tcW w:type="dxa" w:w="1134"/>
            <w:vAlign w:val="center"/>
          </w:tcPr>
          <w:p>
            <w:pPr>
              <w:spacing w:after="0"/>
              <w:jc w:val="center"/>
            </w:pPr>
            <w:r>
              <w:rPr>
                <w:rFonts w:ascii="游ゴシック" w:hAnsi="游ゴシック" w:eastAsia="游ゴシック"/>
                <w:b w:val="0"/>
                <w:sz w:val="18"/>
              </w:rPr>
              <w:t>R8.10</w:t>
            </w:r>
          </w:p>
        </w:tc>
      </w:tr>
    </w:tbl>
    <w:p>
      <w:pPr>
        <w:spacing w:after="80"/>
      </w:pPr>
      <w:r>
        <w:rPr>
          <w:rFonts w:ascii="游ゴシック" w:hAnsi="游ゴシック" w:eastAsia="游ゴシック"/>
          <w:b w:val="0"/>
          <w:sz w:val="17"/>
        </w:rPr>
        <w:t>資料：業務工程管理表 03_確認事項一覧</w:t>
      </w:r>
    </w:p>
    <w:p>
      <w:pPr>
        <w:ind w:left="227"/>
      </w:pPr>
      <w:r>
        <w:rPr>
          <w:rFonts w:ascii="游ゴシック" w:hAnsi="游ゴシック" w:eastAsia="游ゴシック"/>
          <w:b w:val="0"/>
          <w:sz w:val="18"/>
        </w:rPr>
        <w:t>※ 介護保険法第117条第2項第1号の記載事項である日常生活圏域ごとの必要利用定員総数（No.88）は、記載を落とすことができません。3町の整備方針が確定するまで［要協議］のまま残します。</w:t>
      </w:r>
    </w:p>
    <w:p>
      <w:pPr>
        <w:keepNext/>
        <w:spacing w:before="180" w:after="60"/>
      </w:pPr>
      <w:r>
        <w:rPr>
          <w:rFonts w:ascii="游ゴシック" w:hAnsi="游ゴシック" w:eastAsia="游ゴシック"/>
          <w:b/>
          <w:sz w:val="22"/>
        </w:rPr>
        <w:t>3　受託者が仮置きにより進めた事項（14件）</w:t>
      </w:r>
    </w:p>
    <w:p>
      <w:pPr>
        <w:spacing w:after="80"/>
      </w:pPr>
      <w:r>
        <w:rPr>
          <w:rFonts w:ascii="游ゴシック" w:hAnsi="游ゴシック" w:eastAsia="游ゴシック"/>
          <w:b w:val="0"/>
          <w:sz w:val="20"/>
        </w:rPr>
        <w:t>ご決定をお待ちしているもののうち、仮置きのとおり計画素案へ反映した事項です。掲げないこととしたものを含みます。</w:t>
      </w:r>
      <w:r>
        <w:rPr>
          <w:rFonts w:ascii="游ゴシック" w:hAnsi="游ゴシック" w:eastAsia="游ゴシック"/>
          <w:b/>
          <w:sz w:val="20"/>
        </w:rPr>
        <w:t>反映した内容でよいかをご確認ください。</w:t>
      </w:r>
      <w:r>
        <w:rPr>
          <w:rFonts w:ascii="游ゴシック" w:hAnsi="游ゴシック" w:eastAsia="游ゴシック"/>
          <w:b w:val="0"/>
          <w:sz w:val="20"/>
        </w:rPr>
        <w:t xml:space="preserve"> ご決定の内容が異なる場合は、その内容により置き直します。</w:t>
      </w:r>
    </w:p>
    <w:p>
      <w:pPr>
        <w:spacing w:after="80"/>
      </w:pPr>
      <w:r>
        <w:rPr>
          <w:rFonts w:ascii="游ゴシック" w:hAnsi="游ゴシック" w:eastAsia="游ゴシック"/>
          <w:b w:val="0"/>
          <w:sz w:val="20"/>
        </w:rPr>
        <w:t>このうち混合型特定施設入居者生活介護に係る必要利用定員総数（No.113）は、介護保険法第117条第3項が勘案事項として挙げるものです。本計画では定めないこととして記載しています。区域内の事業所の類型（混合型・介護専用型）は［要確認］であり、北海道の指定事業所一覧による確認をお願いしています。</w:t>
      </w:r>
    </w:p>
    <w:p>
      <w:pPr>
        <w:keepNext/>
        <w:spacing w:before="160" w:after="40"/>
      </w:pPr>
      <w:r>
        <w:rPr>
          <w:rFonts w:ascii="游ゴシック" w:hAnsi="游ゴシック" w:eastAsia="游ゴシック"/>
          <w:b/>
          <w:sz w:val="20"/>
        </w:rPr>
        <w:t>表13　仮置きにより計画素案へ反映した事項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spacing w:after="0"/>
              <w:jc w:val="center"/>
            </w:pPr>
            <w:r>
              <w:rPr>
                <w:rFonts w:ascii="游ゴシック" w:hAnsi="游ゴシック" w:eastAsia="游ゴシック"/>
                <w:b/>
                <w:color w:val="FFFFFF"/>
                <w:sz w:val="16"/>
              </w:rPr>
              <w:t>No.</w:t>
            </w:r>
          </w:p>
        </w:tc>
        <w:tc>
          <w:tcPr>
            <w:tcW w:type="dxa" w:w="2608"/>
            <w:shd w:val="clear" w:color="auto" w:fill="1F3864"/>
            <w:vAlign w:val="center"/>
          </w:tcPr>
          <w:p>
            <w:pPr>
              <w:spacing w:after="0"/>
              <w:jc w:val="center"/>
            </w:pPr>
            <w:r>
              <w:rPr>
                <w:rFonts w:ascii="游ゴシック" w:hAnsi="游ゴシック" w:eastAsia="游ゴシック"/>
                <w:b/>
                <w:color w:val="FFFFFF"/>
                <w:sz w:val="16"/>
              </w:rPr>
              <w:t>確認事項</w:t>
            </w:r>
          </w:p>
        </w:tc>
        <w:tc>
          <w:tcPr>
            <w:tcW w:type="dxa" w:w="4649"/>
            <w:shd w:val="clear" w:color="auto" w:fill="1F3864"/>
            <w:vAlign w:val="center"/>
          </w:tcPr>
          <w:p>
            <w:pPr>
              <w:spacing w:after="0"/>
              <w:jc w:val="center"/>
            </w:pPr>
            <w:r>
              <w:rPr>
                <w:rFonts w:ascii="游ゴシック" w:hAnsi="游ゴシック" w:eastAsia="游ゴシック"/>
                <w:b/>
                <w:color w:val="FFFFFF"/>
                <w:sz w:val="16"/>
              </w:rPr>
              <w:t>反映した内容</w:t>
            </w:r>
          </w:p>
        </w:tc>
        <w:tc>
          <w:tcPr>
            <w:tcW w:type="dxa" w:w="1701"/>
            <w:shd w:val="clear" w:color="auto" w:fill="1F3864"/>
            <w:vAlign w:val="center"/>
          </w:tcPr>
          <w:p>
            <w:pPr>
              <w:spacing w:after="0"/>
              <w:jc w:val="center"/>
            </w:pPr>
            <w:r>
              <w:rPr>
                <w:rFonts w:ascii="游ゴシック" w:hAnsi="游ゴシック" w:eastAsia="游ゴシック"/>
                <w:b/>
                <w:color w:val="FFFFFF"/>
                <w:sz w:val="16"/>
              </w:rPr>
              <w:t>計画素案</w:t>
            </w:r>
          </w:p>
        </w:tc>
      </w:tr>
      <w:tr>
        <w:trPr>
          <w:cantSplit/>
        </w:trPr>
        <w:tc>
          <w:tcPr>
            <w:tcW w:type="dxa" w:w="794"/>
            <w:vAlign w:val="center"/>
          </w:tcPr>
          <w:p>
            <w:pPr>
              <w:spacing w:after="0"/>
              <w:jc w:val="center"/>
            </w:pPr>
            <w:r>
              <w:rPr>
                <w:rFonts w:ascii="游ゴシック" w:hAnsi="游ゴシック" w:eastAsia="游ゴシック"/>
                <w:b w:val="0"/>
                <w:sz w:val="16"/>
              </w:rPr>
              <w:t>No.88</w:t>
            </w:r>
          </w:p>
        </w:tc>
        <w:tc>
          <w:tcPr>
            <w:tcW w:type="dxa" w:w="2608"/>
            <w:vAlign w:val="center"/>
          </w:tcPr>
          <w:p>
            <w:pPr>
              <w:spacing w:after="0"/>
            </w:pPr>
            <w:r>
              <w:rPr>
                <w:rFonts w:ascii="游ゴシック" w:hAnsi="游ゴシック" w:eastAsia="游ゴシック"/>
                <w:b w:val="0"/>
                <w:sz w:val="16"/>
              </w:rPr>
              <w:t>日常生活圏域ごとの必要利用定員総数（法定記載事項）</w:t>
            </w:r>
          </w:p>
        </w:tc>
        <w:tc>
          <w:tcPr>
            <w:tcW w:type="dxa" w:w="4649"/>
            <w:vAlign w:val="center"/>
          </w:tcPr>
          <w:p>
            <w:pPr>
              <w:spacing w:after="0"/>
            </w:pPr>
            <w:r>
              <w:rPr>
                <w:rFonts w:ascii="游ゴシック" w:hAnsi="游ゴシック" w:eastAsia="游ゴシック"/>
                <w:b w:val="0"/>
                <w:sz w:val="16"/>
              </w:rPr>
              <w:t>3町（3圏域）を基盤整備単位とし、必要利用定員総数は［要協議］のまま残した</w:t>
            </w:r>
          </w:p>
        </w:tc>
        <w:tc>
          <w:tcPr>
            <w:tcW w:type="dxa" w:w="1701"/>
            <w:vAlign w:val="center"/>
          </w:tcPr>
          <w:p>
            <w:pPr>
              <w:spacing w:after="0"/>
            </w:pPr>
            <w:r>
              <w:rPr>
                <w:rFonts w:ascii="游ゴシック" w:hAnsi="游ゴシック" w:eastAsia="游ゴシック"/>
                <w:b w:val="0"/>
                <w:sz w:val="16"/>
              </w:rPr>
              <w:t>第6章第4節4</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No.113</w:t>
            </w:r>
          </w:p>
        </w:tc>
        <w:tc>
          <w:tcPr>
            <w:tcW w:type="dxa" w:w="2608"/>
            <w:shd w:val="clear" w:color="auto" w:fill="F2F5FA"/>
            <w:vAlign w:val="center"/>
          </w:tcPr>
          <w:p>
            <w:pPr>
              <w:spacing w:after="0"/>
            </w:pPr>
            <w:r>
              <w:rPr>
                <w:rFonts w:ascii="游ゴシック" w:hAnsi="游ゴシック" w:eastAsia="游ゴシック"/>
                <w:b w:val="0"/>
                <w:sz w:val="16"/>
              </w:rPr>
              <w:t>混合型特定施設の必要利用定員総数を定めるか</w:t>
            </w:r>
          </w:p>
        </w:tc>
        <w:tc>
          <w:tcPr>
            <w:tcW w:type="dxa" w:w="4649"/>
            <w:shd w:val="clear" w:color="auto" w:fill="F2F5FA"/>
            <w:vAlign w:val="center"/>
          </w:tcPr>
          <w:p>
            <w:pPr>
              <w:spacing w:after="0"/>
            </w:pPr>
            <w:r>
              <w:rPr>
                <w:rFonts w:ascii="游ゴシック" w:hAnsi="游ゴシック" w:eastAsia="游ゴシック"/>
                <w:b w:val="0"/>
                <w:sz w:val="16"/>
              </w:rPr>
              <w:t>混合型特定施設入居者生活介護に係る必要利用定員総数は定めないこととした</w:t>
            </w:r>
          </w:p>
        </w:tc>
        <w:tc>
          <w:tcPr>
            <w:tcW w:type="dxa" w:w="1701"/>
            <w:shd w:val="clear" w:color="auto" w:fill="F2F5FA"/>
            <w:vAlign w:val="center"/>
          </w:tcPr>
          <w:p>
            <w:pPr>
              <w:spacing w:after="0"/>
            </w:pPr>
            <w:r>
              <w:rPr>
                <w:rFonts w:ascii="游ゴシック" w:hAnsi="游ゴシック" w:eastAsia="游ゴシック"/>
                <w:b w:val="0"/>
                <w:sz w:val="16"/>
              </w:rPr>
              <w:t>第6章第4節4</w:t>
            </w:r>
          </w:p>
        </w:tc>
      </w:tr>
      <w:tr>
        <w:trPr>
          <w:cantSplit/>
        </w:trPr>
        <w:tc>
          <w:tcPr>
            <w:tcW w:type="dxa" w:w="794"/>
            <w:vAlign w:val="center"/>
          </w:tcPr>
          <w:p>
            <w:pPr>
              <w:spacing w:after="0"/>
              <w:jc w:val="center"/>
            </w:pPr>
            <w:r>
              <w:rPr>
                <w:rFonts w:ascii="游ゴシック" w:hAnsi="游ゴシック" w:eastAsia="游ゴシック"/>
                <w:b w:val="0"/>
                <w:sz w:val="16"/>
              </w:rPr>
              <w:t>No.131</w:t>
            </w:r>
          </w:p>
        </w:tc>
        <w:tc>
          <w:tcPr>
            <w:tcW w:type="dxa" w:w="2608"/>
            <w:vAlign w:val="center"/>
          </w:tcPr>
          <w:p>
            <w:pPr>
              <w:spacing w:after="0"/>
            </w:pPr>
            <w:r>
              <w:rPr>
                <w:rFonts w:ascii="游ゴシック" w:hAnsi="游ゴシック" w:eastAsia="游ゴシック"/>
                <w:b w:val="0"/>
                <w:sz w:val="16"/>
              </w:rPr>
              <w:t>第6章第2節の見込量の表に何を掲げるか</w:t>
            </w:r>
          </w:p>
        </w:tc>
        <w:tc>
          <w:tcPr>
            <w:tcW w:type="dxa" w:w="4649"/>
            <w:vAlign w:val="center"/>
          </w:tcPr>
          <w:p>
            <w:pPr>
              <w:spacing w:after="0"/>
            </w:pPr>
            <w:r>
              <w:rPr>
                <w:rFonts w:ascii="游ゴシック" w:hAnsi="游ゴシック" w:eastAsia="游ゴシック"/>
                <w:b w:val="0"/>
                <w:sz w:val="16"/>
              </w:rPr>
              <w:t>利用回（日）数と、介護予防・日常生活支援総合事業及び一般介護予防事業の量の見込みを掲げた</w:t>
            </w:r>
          </w:p>
        </w:tc>
        <w:tc>
          <w:tcPr>
            <w:tcW w:type="dxa" w:w="1701"/>
            <w:vAlign w:val="center"/>
          </w:tcPr>
          <w:p>
            <w:pPr>
              <w:spacing w:after="0"/>
            </w:pPr>
            <w:r>
              <w:rPr>
                <w:rFonts w:ascii="游ゴシック" w:hAnsi="游ゴシック" w:eastAsia="游ゴシック"/>
                <w:b w:val="0"/>
                <w:sz w:val="16"/>
              </w:rPr>
              <w:t>第6章第2節・第3節2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No.112</w:t>
            </w:r>
          </w:p>
        </w:tc>
        <w:tc>
          <w:tcPr>
            <w:tcW w:type="dxa" w:w="2608"/>
            <w:shd w:val="clear" w:color="auto" w:fill="F2F5FA"/>
            <w:vAlign w:val="center"/>
          </w:tcPr>
          <w:p>
            <w:pPr>
              <w:spacing w:after="0"/>
            </w:pPr>
            <w:r>
              <w:rPr>
                <w:rFonts w:ascii="游ゴシック" w:hAnsi="游ゴシック" w:eastAsia="游ゴシック"/>
                <w:b w:val="0"/>
                <w:sz w:val="16"/>
              </w:rPr>
              <w:t>地域支援事業の量の見込みを算定してよいか</w:t>
            </w:r>
          </w:p>
        </w:tc>
        <w:tc>
          <w:tcPr>
            <w:tcW w:type="dxa" w:w="4649"/>
            <w:shd w:val="clear" w:color="auto" w:fill="F2F5FA"/>
            <w:vAlign w:val="center"/>
          </w:tcPr>
          <w:p>
            <w:pPr>
              <w:spacing w:after="0"/>
            </w:pPr>
            <w:r>
              <w:rPr>
                <w:rFonts w:ascii="游ゴシック" w:hAnsi="游ゴシック" w:eastAsia="游ゴシック"/>
                <w:b w:val="0"/>
                <w:sz w:val="16"/>
              </w:rPr>
              <w:t>令和6年度の利用者実人数を基礎として量の見込みを掲げ、令和7年度の実施状況は単位が異なるため別に示した</w:t>
            </w:r>
          </w:p>
        </w:tc>
        <w:tc>
          <w:tcPr>
            <w:tcW w:type="dxa" w:w="1701"/>
            <w:shd w:val="clear" w:color="auto" w:fill="F2F5FA"/>
            <w:vAlign w:val="center"/>
          </w:tcPr>
          <w:p>
            <w:pPr>
              <w:spacing w:after="0"/>
            </w:pPr>
            <w:r>
              <w:rPr>
                <w:rFonts w:ascii="游ゴシック" w:hAnsi="游ゴシック" w:eastAsia="游ゴシック"/>
                <w:b w:val="0"/>
                <w:sz w:val="16"/>
              </w:rPr>
              <w:t>第6章第3節2</w:t>
            </w:r>
          </w:p>
        </w:tc>
      </w:tr>
      <w:tr>
        <w:trPr>
          <w:cantSplit/>
        </w:trPr>
        <w:tc>
          <w:tcPr>
            <w:tcW w:type="dxa" w:w="794"/>
            <w:vAlign w:val="center"/>
          </w:tcPr>
          <w:p>
            <w:pPr>
              <w:spacing w:after="0"/>
              <w:jc w:val="center"/>
            </w:pPr>
            <w:r>
              <w:rPr>
                <w:rFonts w:ascii="游ゴシック" w:hAnsi="游ゴシック" w:eastAsia="游ゴシック"/>
                <w:b w:val="0"/>
                <w:sz w:val="16"/>
              </w:rPr>
              <w:t>No.106</w:t>
            </w:r>
          </w:p>
        </w:tc>
        <w:tc>
          <w:tcPr>
            <w:tcW w:type="dxa" w:w="2608"/>
            <w:vAlign w:val="center"/>
          </w:tcPr>
          <w:p>
            <w:pPr>
              <w:spacing w:after="0"/>
            </w:pPr>
            <w:r>
              <w:rPr>
                <w:rFonts w:ascii="游ゴシック" w:hAnsi="游ゴシック" w:eastAsia="游ゴシック"/>
                <w:b w:val="0"/>
                <w:sz w:val="16"/>
              </w:rPr>
              <w:t>見込量の伸びを一律からサービス別の趨勢を半分反映する置き方に改めるか</w:t>
            </w:r>
          </w:p>
        </w:tc>
        <w:tc>
          <w:tcPr>
            <w:tcW w:type="dxa" w:w="4649"/>
            <w:vAlign w:val="center"/>
          </w:tcPr>
          <w:p>
            <w:pPr>
              <w:spacing w:after="0"/>
            </w:pPr>
            <w:r>
              <w:rPr>
                <w:rFonts w:ascii="游ゴシック" w:hAnsi="游ゴシック" w:eastAsia="游ゴシック"/>
                <w:b w:val="0"/>
                <w:sz w:val="16"/>
              </w:rPr>
              <w:t>サービス別の趨勢を反映する補正は行わず、補正した場合の月額への効きを併記した</w:t>
            </w:r>
          </w:p>
        </w:tc>
        <w:tc>
          <w:tcPr>
            <w:tcW w:type="dxa" w:w="1701"/>
            <w:vAlign w:val="center"/>
          </w:tcPr>
          <w:p>
            <w:pPr>
              <w:spacing w:after="0"/>
            </w:pPr>
            <w:r>
              <w:rPr>
                <w:rFonts w:ascii="游ゴシック" w:hAnsi="游ゴシック" w:eastAsia="游ゴシック"/>
                <w:b w:val="0"/>
                <w:sz w:val="16"/>
              </w:rPr>
              <w:t>第6章第6節2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No.105</w:t>
            </w:r>
          </w:p>
        </w:tc>
        <w:tc>
          <w:tcPr>
            <w:tcW w:type="dxa" w:w="2608"/>
            <w:shd w:val="clear" w:color="auto" w:fill="F2F5FA"/>
            <w:vAlign w:val="center"/>
          </w:tcPr>
          <w:p>
            <w:pPr>
              <w:spacing w:after="0"/>
            </w:pPr>
            <w:r>
              <w:rPr>
                <w:rFonts w:ascii="游ゴシック" w:hAnsi="游ゴシック" w:eastAsia="游ゴシック"/>
                <w:b w:val="0"/>
                <w:sz w:val="16"/>
              </w:rPr>
              <w:t>施策反映を行うか。行う場合の対象と歯止め</w:t>
            </w:r>
          </w:p>
        </w:tc>
        <w:tc>
          <w:tcPr>
            <w:tcW w:type="dxa" w:w="4649"/>
            <w:shd w:val="clear" w:color="auto" w:fill="F2F5FA"/>
            <w:vAlign w:val="center"/>
          </w:tcPr>
          <w:p>
            <w:pPr>
              <w:spacing w:after="0"/>
            </w:pPr>
            <w:r>
              <w:rPr>
                <w:rFonts w:ascii="游ゴシック" w:hAnsi="游ゴシック" w:eastAsia="游ゴシック"/>
                <w:b w:val="0"/>
                <w:sz w:val="16"/>
              </w:rPr>
              <w:t>施策による見込量の増減を織り込まなかった（自然体）</w:t>
            </w:r>
          </w:p>
        </w:tc>
        <w:tc>
          <w:tcPr>
            <w:tcW w:type="dxa" w:w="1701"/>
            <w:shd w:val="clear" w:color="auto" w:fill="F2F5FA"/>
            <w:vAlign w:val="center"/>
          </w:tcPr>
          <w:p>
            <w:pPr>
              <w:spacing w:after="0"/>
            </w:pPr>
            <w:r>
              <w:rPr>
                <w:rFonts w:ascii="游ゴシック" w:hAnsi="游ゴシック" w:eastAsia="游ゴシック"/>
                <w:b w:val="0"/>
                <w:sz w:val="16"/>
              </w:rPr>
              <w:t>第6章第2節</w:t>
            </w:r>
          </w:p>
        </w:tc>
      </w:tr>
      <w:tr>
        <w:trPr>
          <w:cantSplit/>
        </w:trPr>
        <w:tc>
          <w:tcPr>
            <w:tcW w:type="dxa" w:w="794"/>
            <w:vAlign w:val="center"/>
          </w:tcPr>
          <w:p>
            <w:pPr>
              <w:spacing w:after="0"/>
              <w:jc w:val="center"/>
            </w:pPr>
            <w:r>
              <w:rPr>
                <w:rFonts w:ascii="游ゴシック" w:hAnsi="游ゴシック" w:eastAsia="游ゴシック"/>
                <w:b w:val="0"/>
                <w:sz w:val="16"/>
              </w:rPr>
              <w:t>No.137</w:t>
            </w:r>
          </w:p>
        </w:tc>
        <w:tc>
          <w:tcPr>
            <w:tcW w:type="dxa" w:w="2608"/>
            <w:vAlign w:val="center"/>
          </w:tcPr>
          <w:p>
            <w:pPr>
              <w:spacing w:after="0"/>
            </w:pPr>
            <w:r>
              <w:rPr>
                <w:rFonts w:ascii="游ゴシック" w:hAnsi="游ゴシック" w:eastAsia="游ゴシック"/>
                <w:b w:val="0"/>
                <w:sz w:val="16"/>
              </w:rPr>
              <w:t>1人1月あたり給付費の実績値をどの年度にするか</w:t>
            </w:r>
          </w:p>
        </w:tc>
        <w:tc>
          <w:tcPr>
            <w:tcW w:type="dxa" w:w="4649"/>
            <w:vAlign w:val="center"/>
          </w:tcPr>
          <w:p>
            <w:pPr>
              <w:spacing w:after="0"/>
            </w:pPr>
            <w:r>
              <w:rPr>
                <w:rFonts w:ascii="游ゴシック" w:hAnsi="游ゴシック" w:eastAsia="游ゴシック"/>
                <w:b w:val="0"/>
                <w:sz w:val="16"/>
              </w:rPr>
              <w:t>単価を令和7年度で固定し、実績の趨勢を織り込んだ場合の月額への効きを併記した</w:t>
            </w:r>
          </w:p>
        </w:tc>
        <w:tc>
          <w:tcPr>
            <w:tcW w:type="dxa" w:w="1701"/>
            <w:vAlign w:val="center"/>
          </w:tcPr>
          <w:p>
            <w:pPr>
              <w:spacing w:after="0"/>
            </w:pPr>
            <w:r>
              <w:rPr>
                <w:rFonts w:ascii="游ゴシック" w:hAnsi="游ゴシック" w:eastAsia="游ゴシック"/>
                <w:b w:val="0"/>
                <w:sz w:val="16"/>
              </w:rPr>
              <w:t>第6章第6節2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No.110</w:t>
            </w:r>
          </w:p>
        </w:tc>
        <w:tc>
          <w:tcPr>
            <w:tcW w:type="dxa" w:w="2608"/>
            <w:shd w:val="clear" w:color="auto" w:fill="F2F5FA"/>
            <w:vAlign w:val="center"/>
          </w:tcPr>
          <w:p>
            <w:pPr>
              <w:spacing w:after="0"/>
            </w:pPr>
            <w:r>
              <w:rPr>
                <w:rFonts w:ascii="游ゴシック" w:hAnsi="游ゴシック" w:eastAsia="游ゴシック"/>
                <w:b w:val="0"/>
                <w:sz w:val="16"/>
              </w:rPr>
              <w:t>給付適正化の効果を見込量に織り込まないことでよいか</w:t>
            </w:r>
          </w:p>
        </w:tc>
        <w:tc>
          <w:tcPr>
            <w:tcW w:type="dxa" w:w="4649"/>
            <w:shd w:val="clear" w:color="auto" w:fill="F2F5FA"/>
            <w:vAlign w:val="center"/>
          </w:tcPr>
          <w:p>
            <w:pPr>
              <w:spacing w:after="0"/>
            </w:pPr>
            <w:r>
              <w:rPr>
                <w:rFonts w:ascii="游ゴシック" w:hAnsi="游ゴシック" w:eastAsia="游ゴシック"/>
                <w:b w:val="0"/>
                <w:sz w:val="16"/>
              </w:rPr>
              <w:t>給付の適正化による抑制を織り込まず、対象サービスの割合と10％抑制した場合の効きを併記した</w:t>
            </w:r>
          </w:p>
        </w:tc>
        <w:tc>
          <w:tcPr>
            <w:tcW w:type="dxa" w:w="1701"/>
            <w:shd w:val="clear" w:color="auto" w:fill="F2F5FA"/>
            <w:vAlign w:val="center"/>
          </w:tcPr>
          <w:p>
            <w:pPr>
              <w:spacing w:after="0"/>
            </w:pPr>
            <w:r>
              <w:rPr>
                <w:rFonts w:ascii="游ゴシック" w:hAnsi="游ゴシック" w:eastAsia="游ゴシック"/>
                <w:b w:val="0"/>
                <w:sz w:val="16"/>
              </w:rPr>
              <w:t>第6章第6節2</w:t>
            </w:r>
          </w:p>
        </w:tc>
      </w:tr>
      <w:tr>
        <w:trPr>
          <w:cantSplit/>
        </w:trPr>
        <w:tc>
          <w:tcPr>
            <w:tcW w:type="dxa" w:w="794"/>
            <w:vAlign w:val="center"/>
          </w:tcPr>
          <w:p>
            <w:pPr>
              <w:spacing w:after="0"/>
              <w:jc w:val="center"/>
            </w:pPr>
            <w:r>
              <w:rPr>
                <w:rFonts w:ascii="游ゴシック" w:hAnsi="游ゴシック" w:eastAsia="游ゴシック"/>
                <w:b w:val="0"/>
                <w:sz w:val="16"/>
              </w:rPr>
              <w:t>No.150</w:t>
            </w:r>
          </w:p>
        </w:tc>
        <w:tc>
          <w:tcPr>
            <w:tcW w:type="dxa" w:w="2608"/>
            <w:vAlign w:val="center"/>
          </w:tcPr>
          <w:p>
            <w:pPr>
              <w:spacing w:after="0"/>
            </w:pPr>
            <w:r>
              <w:rPr>
                <w:rFonts w:ascii="游ゴシック" w:hAnsi="游ゴシック" w:eastAsia="游ゴシック"/>
                <w:b w:val="0"/>
                <w:sz w:val="16"/>
              </w:rPr>
              <w:t>認知症総合支援事業の実績のご提供</w:t>
            </w:r>
          </w:p>
        </w:tc>
        <w:tc>
          <w:tcPr>
            <w:tcW w:type="dxa" w:w="4649"/>
            <w:vAlign w:val="center"/>
          </w:tcPr>
          <w:p>
            <w:pPr>
              <w:spacing w:after="0"/>
            </w:pPr>
            <w:r>
              <w:rPr>
                <w:rFonts w:ascii="游ゴシック" w:hAnsi="游ゴシック" w:eastAsia="游ゴシック"/>
                <w:b w:val="0"/>
                <w:sz w:val="16"/>
              </w:rPr>
              <w:t>量の見込みは掲げず、構成3町の認知症総合支援事業の実施状況を掲げた</w:t>
            </w:r>
          </w:p>
        </w:tc>
        <w:tc>
          <w:tcPr>
            <w:tcW w:type="dxa" w:w="1701"/>
            <w:vAlign w:val="center"/>
          </w:tcPr>
          <w:p>
            <w:pPr>
              <w:spacing w:after="0"/>
            </w:pPr>
            <w:r>
              <w:rPr>
                <w:rFonts w:ascii="游ゴシック" w:hAnsi="游ゴシック" w:eastAsia="游ゴシック"/>
                <w:b w:val="0"/>
                <w:sz w:val="16"/>
              </w:rPr>
              <w:t>第6章第3節2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No.98</w:t>
            </w:r>
          </w:p>
        </w:tc>
        <w:tc>
          <w:tcPr>
            <w:tcW w:type="dxa" w:w="2608"/>
            <w:shd w:val="clear" w:color="auto" w:fill="F2F5FA"/>
            <w:vAlign w:val="center"/>
          </w:tcPr>
          <w:p>
            <w:pPr>
              <w:spacing w:after="0"/>
            </w:pPr>
            <w:r>
              <w:rPr>
                <w:rFonts w:ascii="游ゴシック" w:hAnsi="游ゴシック" w:eastAsia="游ゴシック"/>
                <w:b w:val="0"/>
                <w:sz w:val="16"/>
              </w:rPr>
              <w:t>基盤整備の選択肢として省令上の類型を計画に掲げるか</w:t>
            </w:r>
          </w:p>
        </w:tc>
        <w:tc>
          <w:tcPr>
            <w:tcW w:type="dxa" w:w="4649"/>
            <w:shd w:val="clear" w:color="auto" w:fill="F2F5FA"/>
            <w:vAlign w:val="center"/>
          </w:tcPr>
          <w:p>
            <w:pPr>
              <w:spacing w:after="0"/>
            </w:pPr>
            <w:r>
              <w:rPr>
                <w:rFonts w:ascii="游ゴシック" w:hAnsi="游ゴシック" w:eastAsia="游ゴシック"/>
                <w:b w:val="0"/>
                <w:sz w:val="16"/>
              </w:rPr>
              <w:t>省令上の類型は計画に掲げていない</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No.100</w:t>
            </w:r>
          </w:p>
        </w:tc>
        <w:tc>
          <w:tcPr>
            <w:tcW w:type="dxa" w:w="2608"/>
            <w:vAlign w:val="center"/>
          </w:tcPr>
          <w:p>
            <w:pPr>
              <w:spacing w:after="0"/>
            </w:pPr>
            <w:r>
              <w:rPr>
                <w:rFonts w:ascii="游ゴシック" w:hAnsi="游ゴシック" w:eastAsia="游ゴシック"/>
                <w:b w:val="0"/>
                <w:sz w:val="16"/>
              </w:rPr>
              <w:t>サービス見込量及び給付費の算定に用いる基準年度と出所</w:t>
            </w:r>
          </w:p>
        </w:tc>
        <w:tc>
          <w:tcPr>
            <w:tcW w:type="dxa" w:w="4649"/>
            <w:vAlign w:val="center"/>
          </w:tcPr>
          <w:p>
            <w:pPr>
              <w:spacing w:after="0"/>
            </w:pPr>
            <w:r>
              <w:rPr>
                <w:rFonts w:ascii="游ゴシック" w:hAnsi="游ゴシック" w:eastAsia="游ゴシック"/>
                <w:b w:val="0"/>
                <w:sz w:val="16"/>
              </w:rPr>
              <w:t>令和7年度を基準年度とし、総括表の単価により要介護度別の伸びで算定した</w:t>
            </w:r>
          </w:p>
        </w:tc>
        <w:tc>
          <w:tcPr>
            <w:tcW w:type="dxa" w:w="1701"/>
            <w:vAlign w:val="center"/>
          </w:tcPr>
          <w:p>
            <w:pPr>
              <w:spacing w:after="0"/>
            </w:pPr>
            <w:r>
              <w:rPr>
                <w:rFonts w:ascii="游ゴシック" w:hAnsi="游ゴシック" w:eastAsia="游ゴシック"/>
                <w:b w:val="0"/>
                <w:sz w:val="16"/>
              </w:rPr>
              <w:t>第6章第2節・第3節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No.101</w:t>
            </w:r>
          </w:p>
        </w:tc>
        <w:tc>
          <w:tcPr>
            <w:tcW w:type="dxa" w:w="2608"/>
            <w:shd w:val="clear" w:color="auto" w:fill="F2F5FA"/>
            <w:vAlign w:val="center"/>
          </w:tcPr>
          <w:p>
            <w:pPr>
              <w:spacing w:after="0"/>
            </w:pPr>
            <w:r>
              <w:rPr>
                <w:rFonts w:ascii="游ゴシック" w:hAnsi="游ゴシック" w:eastAsia="游ゴシック"/>
                <w:b w:val="0"/>
                <w:sz w:val="16"/>
              </w:rPr>
              <w:t>計画素案 第6章第2節2の見込量の表の数値の差し替え</w:t>
            </w:r>
          </w:p>
        </w:tc>
        <w:tc>
          <w:tcPr>
            <w:tcW w:type="dxa" w:w="4649"/>
            <w:shd w:val="clear" w:color="auto" w:fill="F2F5FA"/>
            <w:vAlign w:val="center"/>
          </w:tcPr>
          <w:p>
            <w:pPr>
              <w:spacing w:after="0"/>
            </w:pPr>
            <w:r>
              <w:rPr>
                <w:rFonts w:ascii="游ゴシック" w:hAnsi="游ゴシック" w:eastAsia="游ゴシック"/>
                <w:b w:val="0"/>
                <w:sz w:val="16"/>
              </w:rPr>
              <w:t>第6章第2節の表は当方の算定による値とし、見える化システムの自然体推計による値は第6節2に対比として掲げた</w:t>
            </w:r>
          </w:p>
        </w:tc>
        <w:tc>
          <w:tcPr>
            <w:tcW w:type="dxa" w:w="1701"/>
            <w:shd w:val="clear" w:color="auto" w:fill="F2F5FA"/>
            <w:vAlign w:val="center"/>
          </w:tcPr>
          <w:p>
            <w:pPr>
              <w:spacing w:after="0"/>
            </w:pPr>
            <w:r>
              <w:rPr>
                <w:rFonts w:ascii="游ゴシック" w:hAnsi="游ゴシック" w:eastAsia="游ゴシック"/>
                <w:b w:val="0"/>
                <w:sz w:val="16"/>
              </w:rPr>
              <w:t>第6章第2節・第6節2</w:t>
            </w:r>
          </w:p>
        </w:tc>
      </w:tr>
      <w:tr>
        <w:trPr>
          <w:cantSplit/>
        </w:trPr>
        <w:tc>
          <w:tcPr>
            <w:tcW w:type="dxa" w:w="794"/>
            <w:vAlign w:val="center"/>
          </w:tcPr>
          <w:p>
            <w:pPr>
              <w:spacing w:after="0"/>
              <w:jc w:val="center"/>
            </w:pPr>
            <w:r>
              <w:rPr>
                <w:rFonts w:ascii="游ゴシック" w:hAnsi="游ゴシック" w:eastAsia="游ゴシック"/>
                <w:b w:val="0"/>
                <w:sz w:val="16"/>
              </w:rPr>
              <w:t>No.103</w:t>
            </w:r>
          </w:p>
        </w:tc>
        <w:tc>
          <w:tcPr>
            <w:tcW w:type="dxa" w:w="2608"/>
            <w:vAlign w:val="center"/>
          </w:tcPr>
          <w:p>
            <w:pPr>
              <w:spacing w:after="0"/>
            </w:pPr>
            <w:r>
              <w:rPr>
                <w:rFonts w:ascii="游ゴシック" w:hAnsi="游ゴシック" w:eastAsia="游ゴシック"/>
                <w:b w:val="0"/>
                <w:sz w:val="16"/>
              </w:rPr>
              <w:t>令和8年度を基準年度に用いず、季節を理由とする補正も行わないこと</w:t>
            </w:r>
          </w:p>
        </w:tc>
        <w:tc>
          <w:tcPr>
            <w:tcW w:type="dxa" w:w="4649"/>
            <w:vAlign w:val="center"/>
          </w:tcPr>
          <w:p>
            <w:pPr>
              <w:spacing w:after="0"/>
            </w:pPr>
            <w:r>
              <w:rPr>
                <w:rFonts w:ascii="游ゴシック" w:hAnsi="游ゴシック" w:eastAsia="游ゴシック"/>
                <w:b w:val="0"/>
                <w:sz w:val="16"/>
              </w:rPr>
              <w:t>令和8年度（4か月）を基準年度に用いず、季節による補正も行わない旨を注に明示した</w:t>
            </w:r>
          </w:p>
        </w:tc>
        <w:tc>
          <w:tcPr>
            <w:tcW w:type="dxa" w:w="1701"/>
            <w:vAlign w:val="center"/>
          </w:tcPr>
          <w:p>
            <w:pPr>
              <w:spacing w:after="0"/>
            </w:pPr>
            <w:r>
              <w:rPr>
                <w:rFonts w:ascii="游ゴシック" w:hAnsi="游ゴシック" w:eastAsia="游ゴシック"/>
                <w:b w:val="0"/>
                <w:sz w:val="16"/>
              </w:rPr>
              <w:t>第6章第2節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No.107</w:t>
            </w:r>
          </w:p>
        </w:tc>
        <w:tc>
          <w:tcPr>
            <w:tcW w:type="dxa" w:w="2608"/>
            <w:shd w:val="clear" w:color="auto" w:fill="F2F5FA"/>
            <w:vAlign w:val="center"/>
          </w:tcPr>
          <w:p>
            <w:pPr>
              <w:spacing w:after="0"/>
            </w:pPr>
            <w:r>
              <w:rPr>
                <w:rFonts w:ascii="游ゴシック" w:hAnsi="游ゴシック" w:eastAsia="游ゴシック"/>
                <w:b w:val="0"/>
                <w:sz w:val="16"/>
              </w:rPr>
              <w:t>施設・居住系の実績の減少を将来へ延長するか</w:t>
            </w:r>
          </w:p>
        </w:tc>
        <w:tc>
          <w:tcPr>
            <w:tcW w:type="dxa" w:w="4649"/>
            <w:shd w:val="clear" w:color="auto" w:fill="F2F5FA"/>
            <w:vAlign w:val="center"/>
          </w:tcPr>
          <w:p>
            <w:pPr>
              <w:spacing w:after="0"/>
            </w:pPr>
            <w:r>
              <w:rPr>
                <w:rFonts w:ascii="游ゴシック" w:hAnsi="游ゴシック" w:eastAsia="游ゴシック"/>
                <w:b w:val="0"/>
                <w:sz w:val="16"/>
              </w:rPr>
              <w:t>施設及び居住系サービスの定員の縮小の趨勢を将来へ延長しない旨を注に明示した</w:t>
            </w:r>
          </w:p>
        </w:tc>
        <w:tc>
          <w:tcPr>
            <w:tcW w:type="dxa" w:w="1701"/>
            <w:shd w:val="clear" w:color="auto" w:fill="F2F5FA"/>
            <w:vAlign w:val="center"/>
          </w:tcPr>
          <w:p>
            <w:pPr>
              <w:spacing w:after="0"/>
            </w:pPr>
            <w:r>
              <w:rPr>
                <w:rFonts w:ascii="游ゴシック" w:hAnsi="游ゴシック" w:eastAsia="游ゴシック"/>
                <w:b w:val="0"/>
                <w:sz w:val="16"/>
              </w:rPr>
              <w:t>第6章第2節</w:t>
            </w:r>
          </w:p>
        </w:tc>
      </w:tr>
    </w:tbl>
    <w:p>
      <w:pPr>
        <w:spacing w:after="80"/>
      </w:pPr>
      <w:r>
        <w:rPr>
          <w:rFonts w:ascii="游ゴシック" w:hAnsi="游ゴシック" w:eastAsia="游ゴシック"/>
          <w:b w:val="0"/>
          <w:sz w:val="17"/>
        </w:rPr>
        <w:t>資料：業務工程管理表 03_確認事項一覧、計画素案</w:t>
      </w:r>
    </w:p>
    <w:p>
      <w:pPr>
        <w:keepNext/>
        <w:pageBreakBefore/>
        <w:spacing w:before="0" w:after="120"/>
      </w:pPr>
      <w:r>
        <w:rPr>
          <w:rFonts w:ascii="游ゴシック" w:hAnsi="游ゴシック" w:eastAsia="游ゴシック"/>
          <w:b/>
          <w:color w:val="1F3864"/>
          <w:sz w:val="26"/>
        </w:rPr>
        <w:t>第7節　認知症施策推進計画の扱い</w:t>
      </w:r>
    </w:p>
    <w:p>
      <w:pPr>
        <w:spacing w:after="80"/>
      </w:pPr>
      <w:r>
        <w:rPr>
          <w:rFonts w:ascii="游ゴシック" w:hAnsi="游ゴシック" w:eastAsia="游ゴシック"/>
          <w:b w:val="0"/>
          <w:sz w:val="21"/>
        </w:rPr>
        <w:t>共生社会の実現を推進するための認知症基本法（令和5年法律第65号）は、第11条で国の認知症施策推進基本計画、第12条で都道府県認知症施策推進計画、第13条で市町村認知症施策推進計画を定めています。</w:t>
      </w:r>
    </w:p>
    <w:p>
      <w:pPr>
        <w:keepNext/>
        <w:spacing w:before="160" w:after="40"/>
      </w:pPr>
      <w:r>
        <w:rPr>
          <w:rFonts w:ascii="游ゴシック" w:hAnsi="游ゴシック" w:eastAsia="游ゴシック"/>
          <w:b/>
          <w:sz w:val="20"/>
        </w:rPr>
        <w:t>表14　計画の階層と当広域連合の扱い</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381"/>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814"/>
            <w:shd w:val="clear" w:color="auto" w:fill="1F3864"/>
            <w:vAlign w:val="center"/>
          </w:tcPr>
          <w:p>
            <w:pPr>
              <w:keepNext/>
              <w:spacing w:after="0"/>
              <w:jc w:val="center"/>
            </w:pPr>
            <w:r>
              <w:rPr>
                <w:rFonts w:ascii="游ゴシック" w:hAnsi="游ゴシック" w:eastAsia="游ゴシック"/>
                <w:b/>
                <w:color w:val="FFFFFF"/>
                <w:sz w:val="18"/>
              </w:rPr>
              <w:t>根拠</w:t>
            </w:r>
          </w:p>
        </w:tc>
        <w:tc>
          <w:tcPr>
            <w:tcW w:type="dxa" w:w="2268"/>
            <w:shd w:val="clear" w:color="auto" w:fill="1F3864"/>
            <w:vAlign w:val="center"/>
          </w:tcPr>
          <w:p>
            <w:pPr>
              <w:keepNext/>
              <w:spacing w:after="0"/>
              <w:jc w:val="center"/>
            </w:pPr>
            <w:r>
              <w:rPr>
                <w:rFonts w:ascii="游ゴシック" w:hAnsi="游ゴシック" w:eastAsia="游ゴシック"/>
                <w:b/>
                <w:color w:val="FFFFFF"/>
                <w:sz w:val="18"/>
              </w:rPr>
              <w:t>策定主体</w:t>
            </w:r>
          </w:p>
        </w:tc>
        <w:tc>
          <w:tcPr>
            <w:tcW w:type="dxa" w:w="3288"/>
            <w:shd w:val="clear" w:color="auto" w:fill="1F3864"/>
            <w:vAlign w:val="center"/>
          </w:tcPr>
          <w:p>
            <w:pPr>
              <w:keepNext/>
              <w:spacing w:after="0"/>
              <w:jc w:val="center"/>
            </w:pPr>
            <w:r>
              <w:rPr>
                <w:rFonts w:ascii="游ゴシック" w:hAnsi="游ゴシック" w:eastAsia="游ゴシック"/>
                <w:b/>
                <w:color w:val="FFFFFF"/>
                <w:sz w:val="18"/>
              </w:rPr>
              <w:t>本計画との関係</w:t>
            </w:r>
          </w:p>
        </w:tc>
      </w:tr>
      <w:tr>
        <w:trPr>
          <w:cantSplit/>
        </w:trPr>
        <w:tc>
          <w:tcPr>
            <w:tcW w:type="dxa" w:w="2381"/>
            <w:vAlign w:val="center"/>
          </w:tcPr>
          <w:p>
            <w:pPr>
              <w:keepNext/>
              <w:spacing w:after="0"/>
            </w:pPr>
            <w:r>
              <w:rPr>
                <w:rFonts w:ascii="游ゴシック" w:hAnsi="游ゴシック" w:eastAsia="游ゴシック"/>
                <w:b/>
                <w:sz w:val="18"/>
              </w:rPr>
              <w:t>認知症施策推進基本計画</w:t>
            </w:r>
          </w:p>
        </w:tc>
        <w:tc>
          <w:tcPr>
            <w:tcW w:type="dxa" w:w="1814"/>
            <w:vAlign w:val="center"/>
          </w:tcPr>
          <w:p>
            <w:pPr>
              <w:keepNext/>
              <w:spacing w:after="0"/>
            </w:pPr>
            <w:r>
              <w:rPr>
                <w:rFonts w:ascii="游ゴシック" w:hAnsi="游ゴシック" w:eastAsia="游ゴシック"/>
                <w:b w:val="0"/>
                <w:sz w:val="18"/>
              </w:rPr>
              <w:t>認知症基本法第11条</w:t>
            </w:r>
          </w:p>
        </w:tc>
        <w:tc>
          <w:tcPr>
            <w:tcW w:type="dxa" w:w="2268"/>
            <w:vAlign w:val="center"/>
          </w:tcPr>
          <w:p>
            <w:pPr>
              <w:keepNext/>
              <w:spacing w:after="0"/>
            </w:pPr>
            <w:r>
              <w:rPr>
                <w:rFonts w:ascii="游ゴシック" w:hAnsi="游ゴシック" w:eastAsia="游ゴシック"/>
                <w:b w:val="0"/>
                <w:sz w:val="18"/>
              </w:rPr>
              <w:t>国</w:t>
            </w:r>
          </w:p>
        </w:tc>
        <w:tc>
          <w:tcPr>
            <w:tcW w:type="dxa" w:w="3288"/>
            <w:vAlign w:val="center"/>
          </w:tcPr>
          <w:p>
            <w:pPr>
              <w:keepNext/>
              <w:spacing w:after="0"/>
            </w:pPr>
            <w:r>
              <w:rPr>
                <w:rFonts w:ascii="游ゴシック" w:hAnsi="游ゴシック" w:eastAsia="游ゴシック"/>
                <w:b w:val="0"/>
                <w:sz w:val="18"/>
              </w:rPr>
              <w:t>基本計画の内容を踏まえます</w:t>
            </w:r>
          </w:p>
        </w:tc>
      </w:tr>
      <w:tr>
        <w:trPr>
          <w:cantSplit/>
        </w:trPr>
        <w:tc>
          <w:tcPr>
            <w:tcW w:type="dxa" w:w="2381"/>
            <w:shd w:val="clear" w:color="auto" w:fill="F2F5FA"/>
            <w:vAlign w:val="center"/>
          </w:tcPr>
          <w:p>
            <w:pPr>
              <w:keepNext/>
              <w:spacing w:after="0"/>
            </w:pPr>
            <w:r>
              <w:rPr>
                <w:rFonts w:ascii="游ゴシック" w:hAnsi="游ゴシック" w:eastAsia="游ゴシック"/>
                <w:b/>
                <w:sz w:val="18"/>
              </w:rPr>
              <w:t>都道府県認知症施策推進計画</w:t>
            </w:r>
          </w:p>
        </w:tc>
        <w:tc>
          <w:tcPr>
            <w:tcW w:type="dxa" w:w="1814"/>
            <w:shd w:val="clear" w:color="auto" w:fill="F2F5FA"/>
            <w:vAlign w:val="center"/>
          </w:tcPr>
          <w:p>
            <w:pPr>
              <w:keepNext/>
              <w:spacing w:after="0"/>
            </w:pPr>
            <w:r>
              <w:rPr>
                <w:rFonts w:ascii="游ゴシック" w:hAnsi="游ゴシック" w:eastAsia="游ゴシック"/>
                <w:b w:val="0"/>
                <w:sz w:val="18"/>
              </w:rPr>
              <w:t>同法第12条</w:t>
            </w:r>
          </w:p>
        </w:tc>
        <w:tc>
          <w:tcPr>
            <w:tcW w:type="dxa" w:w="2268"/>
            <w:shd w:val="clear" w:color="auto" w:fill="F2F5FA"/>
            <w:vAlign w:val="center"/>
          </w:tcPr>
          <w:p>
            <w:pPr>
              <w:keepNext/>
              <w:spacing w:after="0"/>
            </w:pPr>
            <w:r>
              <w:rPr>
                <w:rFonts w:ascii="游ゴシック" w:hAnsi="游ゴシック" w:eastAsia="游ゴシック"/>
                <w:b w:val="0"/>
                <w:sz w:val="18"/>
              </w:rPr>
              <w:t>北海道</w:t>
            </w:r>
          </w:p>
        </w:tc>
        <w:tc>
          <w:tcPr>
            <w:tcW w:type="dxa" w:w="3288"/>
            <w:shd w:val="clear" w:color="auto" w:fill="F2F5FA"/>
            <w:vAlign w:val="center"/>
          </w:tcPr>
          <w:p>
            <w:pPr>
              <w:keepNext/>
              <w:spacing w:after="0"/>
            </w:pPr>
            <w:r>
              <w:rPr>
                <w:rFonts w:ascii="游ゴシック" w:hAnsi="游ゴシック" w:eastAsia="游ゴシック"/>
                <w:b w:val="0"/>
                <w:sz w:val="18"/>
              </w:rPr>
              <w:t>策定の状況は［要確認］です</w:t>
            </w:r>
          </w:p>
        </w:tc>
      </w:tr>
      <w:tr>
        <w:trPr>
          <w:cantSplit/>
        </w:trPr>
        <w:tc>
          <w:tcPr>
            <w:tcW w:type="dxa" w:w="2381"/>
            <w:vAlign w:val="center"/>
          </w:tcPr>
          <w:p>
            <w:pPr>
              <w:keepNext/>
              <w:spacing w:after="0"/>
            </w:pPr>
            <w:r>
              <w:rPr>
                <w:rFonts w:ascii="游ゴシック" w:hAnsi="游ゴシック" w:eastAsia="游ゴシック"/>
                <w:b/>
                <w:sz w:val="18"/>
              </w:rPr>
              <w:t>市町村認知症施策推進計画</w:t>
            </w:r>
          </w:p>
        </w:tc>
        <w:tc>
          <w:tcPr>
            <w:tcW w:type="dxa" w:w="1814"/>
            <w:vAlign w:val="center"/>
          </w:tcPr>
          <w:p>
            <w:pPr>
              <w:keepNext/>
              <w:spacing w:after="0"/>
            </w:pPr>
            <w:r>
              <w:rPr>
                <w:rFonts w:ascii="游ゴシック" w:hAnsi="游ゴシック" w:eastAsia="游ゴシック"/>
                <w:b w:val="0"/>
                <w:sz w:val="18"/>
              </w:rPr>
              <w:t>同法第13条</w:t>
            </w:r>
          </w:p>
        </w:tc>
        <w:tc>
          <w:tcPr>
            <w:tcW w:type="dxa" w:w="2268"/>
            <w:vAlign w:val="center"/>
          </w:tcPr>
          <w:p>
            <w:pPr>
              <w:keepNext/>
              <w:spacing w:after="0"/>
            </w:pPr>
            <w:r>
              <w:rPr>
                <w:rFonts w:ascii="游ゴシック" w:hAnsi="游ゴシック" w:eastAsia="游ゴシック"/>
                <w:b w:val="0"/>
                <w:sz w:val="18"/>
              </w:rPr>
              <w:t>東川町・美瑛町・東神楽町</w:t>
            </w:r>
          </w:p>
        </w:tc>
        <w:tc>
          <w:tcPr>
            <w:tcW w:type="dxa" w:w="3288"/>
            <w:vAlign w:val="center"/>
          </w:tcPr>
          <w:p>
            <w:pPr>
              <w:keepNext/>
              <w:spacing w:after="0"/>
            </w:pPr>
            <w:r>
              <w:rPr>
                <w:rFonts w:ascii="游ゴシック" w:hAnsi="游ゴシック" w:eastAsia="游ゴシック"/>
                <w:b w:val="0"/>
                <w:sz w:val="18"/>
              </w:rPr>
              <w:t>3町がそれぞれ策定します</w:t>
            </w:r>
          </w:p>
        </w:tc>
      </w:tr>
      <w:tr>
        <w:trPr>
          <w:cantSplit/>
        </w:trPr>
        <w:tc>
          <w:tcPr>
            <w:tcW w:type="dxa" w:w="2381"/>
            <w:shd w:val="clear" w:color="auto" w:fill="F2F5FA"/>
            <w:vAlign w:val="center"/>
          </w:tcPr>
          <w:p>
            <w:pPr>
              <w:spacing w:after="0"/>
            </w:pPr>
            <w:r>
              <w:rPr>
                <w:rFonts w:ascii="游ゴシック" w:hAnsi="游ゴシック" w:eastAsia="游ゴシック"/>
                <w:b/>
                <w:sz w:val="18"/>
              </w:rPr>
              <w:t>第10期介護保険事業計画</w:t>
            </w:r>
          </w:p>
        </w:tc>
        <w:tc>
          <w:tcPr>
            <w:tcW w:type="dxa" w:w="1814"/>
            <w:shd w:val="clear" w:color="auto" w:fill="F2F5FA"/>
            <w:vAlign w:val="center"/>
          </w:tcPr>
          <w:p>
            <w:pPr>
              <w:spacing w:after="0"/>
            </w:pPr>
            <w:r>
              <w:rPr>
                <w:rFonts w:ascii="游ゴシック" w:hAnsi="游ゴシック" w:eastAsia="游ゴシック"/>
                <w:b w:val="0"/>
                <w:sz w:val="18"/>
              </w:rPr>
              <w:t>介護保険法第117条第3項</w:t>
            </w:r>
          </w:p>
        </w:tc>
        <w:tc>
          <w:tcPr>
            <w:tcW w:type="dxa" w:w="2268"/>
            <w:shd w:val="clear" w:color="auto" w:fill="F2F5FA"/>
            <w:vAlign w:val="center"/>
          </w:tcPr>
          <w:p>
            <w:pPr>
              <w:spacing w:after="0"/>
            </w:pPr>
            <w:r>
              <w:rPr>
                <w:rFonts w:ascii="游ゴシック" w:hAnsi="游ゴシック" w:eastAsia="游ゴシック"/>
                <w:b w:val="0"/>
                <w:sz w:val="18"/>
              </w:rPr>
              <w:t>大雪地区広域連合</w:t>
            </w:r>
          </w:p>
        </w:tc>
        <w:tc>
          <w:tcPr>
            <w:tcW w:type="dxa" w:w="3288"/>
            <w:shd w:val="clear" w:color="auto" w:fill="F2F5FA"/>
            <w:vAlign w:val="center"/>
          </w:tcPr>
          <w:p>
            <w:pPr>
              <w:spacing w:after="0"/>
            </w:pPr>
            <w:r>
              <w:rPr>
                <w:rFonts w:ascii="游ゴシック" w:hAnsi="游ゴシック" w:eastAsia="游ゴシック"/>
                <w:b w:val="0"/>
                <w:sz w:val="18"/>
              </w:rPr>
              <w:t>同項により定める事項として認知症施策を掲げ、3町の市町村計画とは資料2により接続します</w:t>
            </w:r>
          </w:p>
        </w:tc>
      </w:tr>
    </w:tbl>
    <w:p>
      <w:pPr>
        <w:spacing w:after="80"/>
      </w:pPr>
      <w:r>
        <w:rPr>
          <w:rFonts w:ascii="游ゴシック" w:hAnsi="游ゴシック" w:eastAsia="游ゴシック"/>
          <w:b w:val="0"/>
          <w:sz w:val="20"/>
        </w:rPr>
        <w:t>認知症基本法第13条の名宛人は市町村です。広域連合は地方自治法第284条により設けられ、介護保険法上の保険者としての事務を共同処理する特別地方公共団体であり、広域連合の計画に一体のものとして定めても市町村計画としての効力は生じません。このため</w:t>
      </w:r>
      <w:r>
        <w:rPr>
          <w:rFonts w:ascii="游ゴシック" w:hAnsi="游ゴシック" w:eastAsia="游ゴシック"/>
          <w:b/>
          <w:sz w:val="20"/>
        </w:rPr>
        <w:t>3町がそれぞれ市町村認知症施策推進計画を策定する</w:t>
      </w:r>
      <w:r>
        <w:rPr>
          <w:rFonts w:ascii="游ゴシック" w:hAnsi="游ゴシック" w:eastAsia="游ゴシック"/>
          <w:b w:val="0"/>
          <w:sz w:val="20"/>
        </w:rPr>
        <w:t>案により計画素案に反映しています（令和8年9月16日ご了承）。</w:t>
      </w:r>
    </w:p>
    <w:p>
      <w:pPr>
        <w:ind w:left="227"/>
      </w:pPr>
      <w:r>
        <w:rPr>
          <w:rFonts w:ascii="游ゴシック" w:hAnsi="游ゴシック" w:eastAsia="游ゴシック"/>
          <w:b w:val="0"/>
          <w:sz w:val="18"/>
        </w:rPr>
        <w:t>※ 条文を受領していないため、計画素案には条番号のみを記載し、項番号は記載していません［要確認］。</w:t>
      </w:r>
    </w:p>
    <w:p>
      <w:pPr>
        <w:keepNext/>
        <w:spacing w:before="180" w:after="60"/>
      </w:pPr>
      <w:r>
        <w:rPr>
          <w:rFonts w:ascii="游ゴシック" w:hAnsi="游ゴシック" w:eastAsia="游ゴシック"/>
          <w:b/>
          <w:sz w:val="22"/>
        </w:rPr>
        <w:t>ご決定をお願いする事項</w:t>
      </w:r>
    </w:p>
    <w:p>
      <w:pPr>
        <w:keepNext/>
        <w:spacing w:before="160" w:after="40"/>
      </w:pPr>
      <w:r>
        <w:rPr>
          <w:rFonts w:ascii="游ゴシック" w:hAnsi="游ゴシック" w:eastAsia="游ゴシック"/>
          <w:b/>
          <w:sz w:val="20"/>
        </w:rPr>
        <w:t>表15　認知症施策に関する確認事項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794"/>
            <w:shd w:val="clear" w:color="auto" w:fill="1F3864"/>
            <w:vAlign w:val="center"/>
          </w:tcPr>
          <w:p>
            <w:pPr>
              <w:keepNext/>
              <w:spacing w:after="0"/>
              <w:jc w:val="center"/>
            </w:pPr>
            <w:r>
              <w:rPr>
                <w:rFonts w:ascii="游ゴシック" w:hAnsi="游ゴシック" w:eastAsia="游ゴシック"/>
                <w:b/>
                <w:color w:val="FFFFFF"/>
                <w:sz w:val="18"/>
              </w:rPr>
              <w:t>No.</w:t>
            </w:r>
          </w:p>
        </w:tc>
        <w:tc>
          <w:tcPr>
            <w:tcW w:type="dxa" w:w="3175"/>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5783"/>
            <w:shd w:val="clear" w:color="auto" w:fill="1F3864"/>
            <w:vAlign w:val="center"/>
          </w:tcPr>
          <w:p>
            <w:pPr>
              <w:keepNext/>
              <w:spacing w:after="0"/>
              <w:jc w:val="center"/>
            </w:pPr>
            <w:r>
              <w:rPr>
                <w:rFonts w:ascii="游ゴシック" w:hAnsi="游ゴシック" w:eastAsia="游ゴシック"/>
                <w:b/>
                <w:color w:val="FFFFFF"/>
                <w:sz w:val="18"/>
              </w:rPr>
              <w:t>決まらない場合の当方の扱い（仮置き）</w:t>
            </w:r>
          </w:p>
        </w:tc>
      </w:tr>
      <w:tr>
        <w:trPr>
          <w:cantSplit/>
        </w:trPr>
        <w:tc>
          <w:tcPr>
            <w:tcW w:type="dxa" w:w="794"/>
            <w:vAlign w:val="center"/>
          </w:tcPr>
          <w:p>
            <w:pPr>
              <w:keepNext/>
              <w:spacing w:after="0"/>
              <w:jc w:val="center"/>
            </w:pPr>
            <w:r>
              <w:rPr>
                <w:rFonts w:ascii="游ゴシック" w:hAnsi="游ゴシック" w:eastAsia="游ゴシック"/>
                <w:b w:val="0"/>
                <w:sz w:val="18"/>
              </w:rPr>
              <w:t>No.130</w:t>
            </w:r>
          </w:p>
        </w:tc>
        <w:tc>
          <w:tcPr>
            <w:tcW w:type="dxa" w:w="3175"/>
            <w:vAlign w:val="center"/>
          </w:tcPr>
          <w:p>
            <w:pPr>
              <w:keepNext/>
              <w:spacing w:after="0"/>
            </w:pPr>
            <w:r>
              <w:rPr>
                <w:rFonts w:ascii="游ゴシック" w:hAnsi="游ゴシック" w:eastAsia="游ゴシック"/>
                <w:b w:val="0"/>
                <w:sz w:val="18"/>
              </w:rPr>
              <w:t>認知症基本法第13条の市町村認知症施策推進計画をどう扱うか</w:t>
            </w:r>
          </w:p>
        </w:tc>
        <w:tc>
          <w:tcPr>
            <w:tcW w:type="dxa" w:w="5783"/>
            <w:vAlign w:val="center"/>
          </w:tcPr>
          <w:p>
            <w:pPr>
              <w:keepNext/>
              <w:spacing w:after="0"/>
            </w:pPr>
            <w:r>
              <w:rPr>
                <w:rFonts w:ascii="游ゴシック" w:hAnsi="游ゴシック" w:eastAsia="游ゴシック"/>
                <w:b w:val="0"/>
                <w:sz w:val="18"/>
              </w:rPr>
              <w:t>案B（3町がそれぞれ市町村計画を策定する）のまま素案に反映する</w:t>
            </w:r>
          </w:p>
        </w:tc>
      </w:tr>
      <w:tr>
        <w:trPr>
          <w:cantSplit/>
        </w:trPr>
        <w:tc>
          <w:tcPr>
            <w:tcW w:type="dxa" w:w="794"/>
            <w:shd w:val="clear" w:color="auto" w:fill="F2F5FA"/>
            <w:vAlign w:val="center"/>
          </w:tcPr>
          <w:p>
            <w:pPr>
              <w:keepNext/>
              <w:spacing w:after="0"/>
              <w:jc w:val="center"/>
            </w:pPr>
            <w:r>
              <w:rPr>
                <w:rFonts w:ascii="游ゴシック" w:hAnsi="游ゴシック" w:eastAsia="游ゴシック"/>
                <w:b w:val="0"/>
                <w:sz w:val="18"/>
              </w:rPr>
              <w:t>No.150</w:t>
            </w:r>
          </w:p>
        </w:tc>
        <w:tc>
          <w:tcPr>
            <w:tcW w:type="dxa" w:w="3175"/>
            <w:shd w:val="clear" w:color="auto" w:fill="F2F5FA"/>
            <w:vAlign w:val="center"/>
          </w:tcPr>
          <w:p>
            <w:pPr>
              <w:keepNext/>
              <w:spacing w:after="0"/>
            </w:pPr>
            <w:r>
              <w:rPr>
                <w:rFonts w:ascii="游ゴシック" w:hAnsi="游ゴシック" w:eastAsia="游ゴシック"/>
                <w:b w:val="0"/>
                <w:sz w:val="18"/>
              </w:rPr>
              <w:t>認知症総合支援事業の実績のご提供</w:t>
            </w:r>
          </w:p>
        </w:tc>
        <w:tc>
          <w:tcPr>
            <w:tcW w:type="dxa" w:w="5783"/>
            <w:shd w:val="clear" w:color="auto" w:fill="F2F5FA"/>
            <w:vAlign w:val="center"/>
          </w:tcPr>
          <w:p>
            <w:pPr>
              <w:keepNext/>
              <w:spacing w:after="0"/>
            </w:pPr>
            <w:r>
              <w:rPr>
                <w:rFonts w:ascii="游ゴシック" w:hAnsi="游ゴシック" w:eastAsia="游ゴシック"/>
                <w:b w:val="0"/>
                <w:sz w:val="18"/>
              </w:rPr>
              <w:t>6事業別の事業費を受領できないものとして、認知症総合支援事業の量の見込みは立てず、3町の取組の回数のみを掲げる</w:t>
            </w:r>
          </w:p>
        </w:tc>
      </w:tr>
      <w:tr>
        <w:trPr>
          <w:cantSplit/>
        </w:trPr>
        <w:tc>
          <w:tcPr>
            <w:tcW w:type="dxa" w:w="794"/>
            <w:vAlign w:val="center"/>
          </w:tcPr>
          <w:p>
            <w:pPr>
              <w:spacing w:after="0"/>
              <w:jc w:val="center"/>
            </w:pPr>
            <w:r>
              <w:rPr>
                <w:rFonts w:ascii="游ゴシック" w:hAnsi="游ゴシック" w:eastAsia="游ゴシック"/>
                <w:b w:val="0"/>
                <w:sz w:val="18"/>
              </w:rPr>
              <w:t>No.149</w:t>
            </w:r>
          </w:p>
        </w:tc>
        <w:tc>
          <w:tcPr>
            <w:tcW w:type="dxa" w:w="3175"/>
            <w:vAlign w:val="center"/>
          </w:tcPr>
          <w:p>
            <w:pPr>
              <w:spacing w:after="0"/>
            </w:pPr>
            <w:r>
              <w:rPr>
                <w:rFonts w:ascii="游ゴシック" w:hAnsi="游ゴシック" w:eastAsia="游ゴシック"/>
                <w:b w:val="0"/>
                <w:sz w:val="18"/>
              </w:rPr>
              <w:t>認知症基本法の条文ほか認知症施策の根拠資料のご提供</w:t>
            </w:r>
          </w:p>
        </w:tc>
        <w:tc>
          <w:tcPr>
            <w:tcW w:type="dxa" w:w="5783"/>
            <w:vAlign w:val="center"/>
          </w:tcPr>
          <w:p>
            <w:pPr>
              <w:spacing w:after="0"/>
            </w:pPr>
            <w:r>
              <w:rPr>
                <w:rFonts w:ascii="游ゴシック" w:hAnsi="游ゴシック" w:eastAsia="游ゴシック"/>
                <w:b w:val="0"/>
                <w:sz w:val="18"/>
              </w:rPr>
              <w:t>認知症基本法の条文を受領できないものとして、計画素案には条番号のみを書き項番号は［要確認］のまま残す</w:t>
            </w:r>
          </w:p>
        </w:tc>
      </w:tr>
    </w:tbl>
    <w:p>
      <w:pPr>
        <w:spacing w:after="80"/>
      </w:pPr>
      <w:r>
        <w:rPr>
          <w:rFonts w:ascii="游ゴシック" w:hAnsi="游ゴシック" w:eastAsia="游ゴシック"/>
          <w:b w:val="0"/>
          <w:sz w:val="20"/>
        </w:rPr>
        <w:t>認知症の人及びその家族等からの意見の聴取は、記述の追加では満たされません。主体・方法・時期を3町と調整のうえ定める必要があり、策定委員会及び運営協議会の構成が決まる前にご判断を要します。</w:t>
      </w:r>
    </w:p>
    <w:p>
      <w:pPr>
        <w:ind w:left="227"/>
      </w:pPr>
      <w:r>
        <w:rPr>
          <w:rFonts w:ascii="游ゴシック" w:hAnsi="游ゴシック" w:eastAsia="游ゴシック"/>
          <w:b w:val="0"/>
          <w:sz w:val="18"/>
        </w:rPr>
        <w:t>※ 美瑛町の認知症初期集中支援推進事業は、医師を確保できないため令和7年度の実績が0件で休止中である旨が実施報告書に記載されています。市町村計画を3町がそれぞれ策定する場合、取組の差が計画の差として現れます。</w:t>
      </w:r>
    </w:p>
    <w:p>
      <w:pPr>
        <w:keepNext/>
        <w:pageBreakBefore w:val="0"/>
        <w:spacing w:before="280" w:after="120"/>
      </w:pPr>
      <w:r>
        <w:rPr>
          <w:rFonts w:ascii="游ゴシック" w:hAnsi="游ゴシック" w:eastAsia="游ゴシック"/>
          <w:b/>
          <w:color w:val="1F3864"/>
          <w:sz w:val="26"/>
        </w:rPr>
        <w:t>第8節　町ごとの個別協議でお伺いする事項</w:t>
      </w:r>
    </w:p>
    <w:p>
      <w:pPr>
        <w:spacing w:after="80"/>
      </w:pPr>
      <w:r>
        <w:rPr>
          <w:rFonts w:ascii="游ゴシック" w:hAnsi="游ゴシック" w:eastAsia="游ゴシック"/>
          <w:b w:val="0"/>
          <w:sz w:val="20"/>
        </w:rPr>
        <w:t>令和8年10月中旬から下旬の個別協議でお伺いする事項です。本意見交換会では扱いません。日程の調整をお願いします。</w:t>
      </w:r>
    </w:p>
    <w:p>
      <w:pPr>
        <w:keepNext/>
        <w:spacing w:before="160" w:after="40"/>
      </w:pPr>
      <w:r>
        <w:rPr>
          <w:rFonts w:ascii="游ゴシック" w:hAnsi="游ゴシック" w:eastAsia="游ゴシック"/>
          <w:b/>
          <w:sz w:val="20"/>
        </w:rPr>
        <w:t>表16　東川町　4件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keepNext/>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4876"/>
            <w:shd w:val="clear" w:color="auto" w:fill="1F3864"/>
            <w:vAlign w:val="center"/>
          </w:tcPr>
          <w:p>
            <w:pPr>
              <w:keepNext/>
              <w:spacing w:after="0"/>
              <w:jc w:val="center"/>
            </w:pPr>
            <w:r>
              <w:rPr>
                <w:rFonts w:ascii="游ゴシック" w:hAnsi="游ゴシック" w:eastAsia="游ゴシック"/>
                <w:b/>
                <w:color w:val="FFFFFF"/>
                <w:sz w:val="18"/>
              </w:rPr>
              <w:t>決まらない場合の当方の扱い（仮置き）</w:t>
            </w:r>
          </w:p>
        </w:tc>
        <w:tc>
          <w:tcPr>
            <w:tcW w:type="dxa" w:w="1134"/>
            <w:shd w:val="clear" w:color="auto" w:fill="1F3864"/>
            <w:vAlign w:val="center"/>
          </w:tcPr>
          <w:p>
            <w:pPr>
              <w:keepNext/>
              <w:spacing w:after="0"/>
              <w:jc w:val="center"/>
            </w:pPr>
            <w:r>
              <w:rPr>
                <w:rFonts w:ascii="游ゴシック" w:hAnsi="游ゴシック" w:eastAsia="游ゴシック"/>
                <w:b/>
                <w:color w:val="FFFFFF"/>
                <w:sz w:val="18"/>
              </w:rPr>
              <w:t>期限</w:t>
            </w:r>
          </w:p>
        </w:tc>
      </w:tr>
      <w:tr>
        <w:trPr>
          <w:cantSplit/>
        </w:trPr>
        <w:tc>
          <w:tcPr>
            <w:tcW w:type="dxa" w:w="794"/>
            <w:vAlign w:val="center"/>
          </w:tcPr>
          <w:p>
            <w:pPr>
              <w:keepNext/>
              <w:spacing w:after="0"/>
              <w:jc w:val="center"/>
            </w:pPr>
            <w:r>
              <w:rPr>
                <w:rFonts w:ascii="游ゴシック" w:hAnsi="游ゴシック" w:eastAsia="游ゴシック"/>
                <w:b w:val="0"/>
                <w:sz w:val="18"/>
              </w:rPr>
              <w:t>No.84</w:t>
            </w:r>
          </w:p>
        </w:tc>
        <w:tc>
          <w:tcPr>
            <w:tcW w:type="dxa" w:w="2948"/>
            <w:vAlign w:val="center"/>
          </w:tcPr>
          <w:p>
            <w:pPr>
              <w:keepNext/>
              <w:spacing w:after="0"/>
            </w:pPr>
            <w:r>
              <w:rPr>
                <w:rFonts w:ascii="游ゴシック" w:hAnsi="游ゴシック" w:eastAsia="游ゴシック"/>
                <w:b w:val="0"/>
                <w:sz w:val="18"/>
              </w:rPr>
              <w:t>東川町の施設整備・サービス提供方針</w:t>
            </w:r>
          </w:p>
        </w:tc>
        <w:tc>
          <w:tcPr>
            <w:tcW w:type="dxa" w:w="4876"/>
            <w:vAlign w:val="center"/>
          </w:tcPr>
          <w:p>
            <w:pPr>
              <w:keepNext/>
              <w:spacing w:after="0"/>
            </w:pPr>
            <w:r>
              <w:rPr>
                <w:rFonts w:ascii="游ゴシック" w:hAnsi="游ゴシック" w:eastAsia="游ゴシック"/>
                <w:b w:val="0"/>
                <w:sz w:val="18"/>
              </w:rPr>
              <w:t>現定員の据え置き案を掲げ、本文は［要協議］のまま残す</w:t>
            </w:r>
          </w:p>
        </w:tc>
        <w:tc>
          <w:tcPr>
            <w:tcW w:type="dxa" w:w="1134"/>
            <w:vAlign w:val="center"/>
          </w:tcPr>
          <w:p>
            <w:pPr>
              <w:keepNext/>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keepNext/>
              <w:spacing w:after="0"/>
              <w:jc w:val="center"/>
            </w:pPr>
            <w:r>
              <w:rPr>
                <w:rFonts w:ascii="游ゴシック" w:hAnsi="游ゴシック" w:eastAsia="游ゴシック"/>
                <w:b w:val="0"/>
                <w:sz w:val="18"/>
              </w:rPr>
              <w:t>No.159</w:t>
            </w:r>
          </w:p>
        </w:tc>
        <w:tc>
          <w:tcPr>
            <w:tcW w:type="dxa" w:w="2948"/>
            <w:shd w:val="clear" w:color="auto" w:fill="F2F5FA"/>
            <w:vAlign w:val="center"/>
          </w:tcPr>
          <w:p>
            <w:pPr>
              <w:keepNext/>
              <w:spacing w:after="0"/>
            </w:pPr>
            <w:r>
              <w:rPr>
                <w:rFonts w:ascii="游ゴシック" w:hAnsi="游ゴシック" w:eastAsia="游ゴシック"/>
                <w:b w:val="0"/>
                <w:sz w:val="18"/>
              </w:rPr>
              <w:t>東川町の通いの場の整備と担い手の確保</w:t>
            </w:r>
          </w:p>
        </w:tc>
        <w:tc>
          <w:tcPr>
            <w:tcW w:type="dxa" w:w="4876"/>
            <w:shd w:val="clear" w:color="auto" w:fill="F2F5FA"/>
            <w:vAlign w:val="center"/>
          </w:tcPr>
          <w:p>
            <w:pPr>
              <w:keepNext/>
              <w:spacing w:after="0"/>
            </w:pPr>
            <w:r>
              <w:rPr>
                <w:rFonts w:ascii="游ゴシック" w:hAnsi="游ゴシック" w:eastAsia="游ゴシック"/>
                <w:b w:val="0"/>
                <w:sz w:val="18"/>
              </w:rPr>
              <w:t>現状のまま（東川町の整備を見込まない）第10期の目標値を置く</w:t>
            </w:r>
          </w:p>
        </w:tc>
        <w:tc>
          <w:tcPr>
            <w:tcW w:type="dxa" w:w="1134"/>
            <w:shd w:val="clear" w:color="auto" w:fill="F2F5FA"/>
            <w:vAlign w:val="center"/>
          </w:tcPr>
          <w:p>
            <w:pPr>
              <w:keepNext/>
              <w:spacing w:after="0"/>
              <w:jc w:val="center"/>
            </w:pPr>
            <w:r>
              <w:rPr>
                <w:rFonts w:ascii="游ゴシック" w:hAnsi="游ゴシック" w:eastAsia="游ゴシック"/>
                <w:b w:val="0"/>
                <w:sz w:val="18"/>
              </w:rPr>
              <w:t>R8.10</w:t>
            </w:r>
          </w:p>
        </w:tc>
      </w:tr>
      <w:tr>
        <w:trPr>
          <w:cantSplit/>
        </w:trPr>
        <w:tc>
          <w:tcPr>
            <w:tcW w:type="dxa" w:w="794"/>
            <w:vAlign w:val="center"/>
          </w:tcPr>
          <w:p>
            <w:pPr>
              <w:keepNext/>
              <w:spacing w:after="0"/>
              <w:jc w:val="center"/>
            </w:pPr>
            <w:r>
              <w:rPr>
                <w:rFonts w:ascii="游ゴシック" w:hAnsi="游ゴシック" w:eastAsia="游ゴシック"/>
                <w:b w:val="0"/>
                <w:sz w:val="18"/>
              </w:rPr>
              <w:t>No.160</w:t>
            </w:r>
          </w:p>
        </w:tc>
        <w:tc>
          <w:tcPr>
            <w:tcW w:type="dxa" w:w="2948"/>
            <w:vAlign w:val="center"/>
          </w:tcPr>
          <w:p>
            <w:pPr>
              <w:keepNext/>
              <w:spacing w:after="0"/>
            </w:pPr>
            <w:r>
              <w:rPr>
                <w:rFonts w:ascii="游ゴシック" w:hAnsi="游ゴシック" w:eastAsia="游ゴシック"/>
                <w:b w:val="0"/>
                <w:sz w:val="18"/>
              </w:rPr>
              <w:t>東川町の認知症サポーター養成講座の実施状況</w:t>
            </w:r>
          </w:p>
        </w:tc>
        <w:tc>
          <w:tcPr>
            <w:tcW w:type="dxa" w:w="4876"/>
            <w:vAlign w:val="center"/>
          </w:tcPr>
          <w:p>
            <w:pPr>
              <w:keepNext/>
              <w:spacing w:after="0"/>
            </w:pPr>
            <w:r>
              <w:rPr>
                <w:rFonts w:ascii="游ゴシック" w:hAnsi="游ゴシック" w:eastAsia="游ゴシック"/>
                <w:b w:val="0"/>
                <w:sz w:val="18"/>
              </w:rPr>
              <w:t>現に確認できる取組の範囲で記述し目標値は置かない</w:t>
            </w:r>
          </w:p>
        </w:tc>
        <w:tc>
          <w:tcPr>
            <w:tcW w:type="dxa" w:w="1134"/>
            <w:vAlign w:val="center"/>
          </w:tcPr>
          <w:p>
            <w:pPr>
              <w:keepNext/>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No.161</w:t>
            </w:r>
          </w:p>
        </w:tc>
        <w:tc>
          <w:tcPr>
            <w:tcW w:type="dxa" w:w="2948"/>
            <w:shd w:val="clear" w:color="auto" w:fill="F2F5FA"/>
            <w:vAlign w:val="center"/>
          </w:tcPr>
          <w:p>
            <w:pPr>
              <w:spacing w:after="0"/>
            </w:pPr>
            <w:r>
              <w:rPr>
                <w:rFonts w:ascii="游ゴシック" w:hAnsi="游ゴシック" w:eastAsia="游ゴシック"/>
                <w:b w:val="0"/>
                <w:sz w:val="18"/>
              </w:rPr>
              <w:t>東川町のチームオレンジ事業の位置づけ</w:t>
            </w:r>
          </w:p>
        </w:tc>
        <w:tc>
          <w:tcPr>
            <w:tcW w:type="dxa" w:w="4876"/>
            <w:shd w:val="clear" w:color="auto" w:fill="F2F5FA"/>
            <w:vAlign w:val="center"/>
          </w:tcPr>
          <w:p>
            <w:pPr>
              <w:spacing w:after="0"/>
            </w:pPr>
            <w:r>
              <w:rPr>
                <w:rFonts w:ascii="游ゴシック" w:hAnsi="游ゴシック" w:eastAsia="游ゴシック"/>
                <w:b w:val="0"/>
                <w:sz w:val="18"/>
              </w:rPr>
              <w:t>東川町の取組として記述し3町展開は記述しない</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bl>
    <w:p>
      <w:pPr>
        <w:keepNext/>
        <w:spacing w:before="160" w:after="40"/>
      </w:pPr>
      <w:r>
        <w:rPr>
          <w:rFonts w:ascii="游ゴシック" w:hAnsi="游ゴシック" w:eastAsia="游ゴシック"/>
          <w:b/>
          <w:sz w:val="20"/>
        </w:rPr>
        <w:t>表17　美瑛町　5件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keepNext/>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4876"/>
            <w:shd w:val="clear" w:color="auto" w:fill="1F3864"/>
            <w:vAlign w:val="center"/>
          </w:tcPr>
          <w:p>
            <w:pPr>
              <w:keepNext/>
              <w:spacing w:after="0"/>
              <w:jc w:val="center"/>
            </w:pPr>
            <w:r>
              <w:rPr>
                <w:rFonts w:ascii="游ゴシック" w:hAnsi="游ゴシック" w:eastAsia="游ゴシック"/>
                <w:b/>
                <w:color w:val="FFFFFF"/>
                <w:sz w:val="18"/>
              </w:rPr>
              <w:t>決まらない場合の当方の扱い（仮置き）</w:t>
            </w:r>
          </w:p>
        </w:tc>
        <w:tc>
          <w:tcPr>
            <w:tcW w:type="dxa" w:w="1134"/>
            <w:shd w:val="clear" w:color="auto" w:fill="1F3864"/>
            <w:vAlign w:val="center"/>
          </w:tcPr>
          <w:p>
            <w:pPr>
              <w:keepNext/>
              <w:spacing w:after="0"/>
              <w:jc w:val="center"/>
            </w:pPr>
            <w:r>
              <w:rPr>
                <w:rFonts w:ascii="游ゴシック" w:hAnsi="游ゴシック" w:eastAsia="游ゴシック"/>
                <w:b/>
                <w:color w:val="FFFFFF"/>
                <w:sz w:val="18"/>
              </w:rPr>
              <w:t>期限</w:t>
            </w:r>
          </w:p>
        </w:tc>
      </w:tr>
      <w:tr>
        <w:trPr>
          <w:cantSplit/>
        </w:trPr>
        <w:tc>
          <w:tcPr>
            <w:tcW w:type="dxa" w:w="794"/>
            <w:vAlign w:val="center"/>
          </w:tcPr>
          <w:p>
            <w:pPr>
              <w:keepNext/>
              <w:spacing w:after="0"/>
              <w:jc w:val="center"/>
            </w:pPr>
            <w:r>
              <w:rPr>
                <w:rFonts w:ascii="游ゴシック" w:hAnsi="游ゴシック" w:eastAsia="游ゴシック"/>
                <w:b w:val="0"/>
                <w:sz w:val="18"/>
              </w:rPr>
              <w:t>No.78</w:t>
            </w:r>
          </w:p>
        </w:tc>
        <w:tc>
          <w:tcPr>
            <w:tcW w:type="dxa" w:w="2948"/>
            <w:vAlign w:val="center"/>
          </w:tcPr>
          <w:p>
            <w:pPr>
              <w:keepNext/>
              <w:spacing w:after="0"/>
            </w:pPr>
            <w:r>
              <w:rPr>
                <w:rFonts w:ascii="游ゴシック" w:hAnsi="游ゴシック" w:eastAsia="游ゴシック"/>
                <w:b w:val="0"/>
                <w:sz w:val="18"/>
              </w:rPr>
              <w:t>グループホームびえいの郷の定員減の時期</w:t>
            </w:r>
          </w:p>
        </w:tc>
        <w:tc>
          <w:tcPr>
            <w:tcW w:type="dxa" w:w="4876"/>
            <w:vAlign w:val="center"/>
          </w:tcPr>
          <w:p>
            <w:pPr>
              <w:keepNext/>
              <w:spacing w:after="0"/>
            </w:pPr>
            <w:r>
              <w:rPr>
                <w:rFonts w:ascii="游ゴシック" w:hAnsi="游ゴシック" w:eastAsia="游ゴシック"/>
                <w:b w:val="0"/>
                <w:sz w:val="18"/>
              </w:rPr>
              <w:t>北海道の名簿の定員のまま概算する</w:t>
            </w:r>
          </w:p>
        </w:tc>
        <w:tc>
          <w:tcPr>
            <w:tcW w:type="dxa" w:w="1134"/>
            <w:vAlign w:val="center"/>
          </w:tcPr>
          <w:p>
            <w:pPr>
              <w:keepNext/>
              <w:spacing w:after="0"/>
              <w:jc w:val="center"/>
            </w:pPr>
            <w:r>
              <w:rPr>
                <w:rFonts w:ascii="游ゴシック" w:hAnsi="游ゴシック" w:eastAsia="游ゴシック"/>
                <w:b w:val="0"/>
                <w:sz w:val="18"/>
              </w:rPr>
              <w:t>R8.9</w:t>
            </w:r>
          </w:p>
        </w:tc>
      </w:tr>
      <w:tr>
        <w:trPr>
          <w:cantSplit/>
        </w:trPr>
        <w:tc>
          <w:tcPr>
            <w:tcW w:type="dxa" w:w="794"/>
            <w:shd w:val="clear" w:color="auto" w:fill="F2F5FA"/>
            <w:vAlign w:val="center"/>
          </w:tcPr>
          <w:p>
            <w:pPr>
              <w:keepNext/>
              <w:spacing w:after="0"/>
              <w:jc w:val="center"/>
            </w:pPr>
            <w:r>
              <w:rPr>
                <w:rFonts w:ascii="游ゴシック" w:hAnsi="游ゴシック" w:eastAsia="游ゴシック"/>
                <w:b w:val="0"/>
                <w:sz w:val="18"/>
              </w:rPr>
              <w:t>No.162</w:t>
            </w:r>
          </w:p>
        </w:tc>
        <w:tc>
          <w:tcPr>
            <w:tcW w:type="dxa" w:w="2948"/>
            <w:shd w:val="clear" w:color="auto" w:fill="F2F5FA"/>
            <w:vAlign w:val="center"/>
          </w:tcPr>
          <w:p>
            <w:pPr>
              <w:keepNext/>
              <w:spacing w:after="0"/>
            </w:pPr>
            <w:r>
              <w:rPr>
                <w:rFonts w:ascii="游ゴシック" w:hAnsi="游ゴシック" w:eastAsia="游ゴシック"/>
                <w:b w:val="0"/>
                <w:sz w:val="18"/>
              </w:rPr>
              <w:t>美瑛町の認知症初期集中支援推進事業の再開の見通し</w:t>
            </w:r>
          </w:p>
        </w:tc>
        <w:tc>
          <w:tcPr>
            <w:tcW w:type="dxa" w:w="4876"/>
            <w:shd w:val="clear" w:color="auto" w:fill="F2F5FA"/>
            <w:vAlign w:val="center"/>
          </w:tcPr>
          <w:p>
            <w:pPr>
              <w:keepNext/>
              <w:spacing w:after="0"/>
            </w:pPr>
            <w:r>
              <w:rPr>
                <w:rFonts w:ascii="游ゴシック" w:hAnsi="游ゴシック" w:eastAsia="游ゴシック"/>
                <w:b w:val="0"/>
                <w:sz w:val="18"/>
              </w:rPr>
              <w:t>令和7年度の実施状況のとおり記述し、再開の時期は［要協議］のまま残す</w:t>
            </w:r>
          </w:p>
        </w:tc>
        <w:tc>
          <w:tcPr>
            <w:tcW w:type="dxa" w:w="1134"/>
            <w:shd w:val="clear" w:color="auto" w:fill="F2F5FA"/>
            <w:vAlign w:val="center"/>
          </w:tcPr>
          <w:p>
            <w:pPr>
              <w:keepNext/>
              <w:spacing w:after="0"/>
              <w:jc w:val="center"/>
            </w:pPr>
            <w:r>
              <w:rPr>
                <w:rFonts w:ascii="游ゴシック" w:hAnsi="游ゴシック" w:eastAsia="游ゴシック"/>
                <w:b w:val="0"/>
                <w:sz w:val="18"/>
              </w:rPr>
              <w:t>R8.10</w:t>
            </w:r>
          </w:p>
        </w:tc>
      </w:tr>
      <w:tr>
        <w:trPr>
          <w:cantSplit/>
        </w:trPr>
        <w:tc>
          <w:tcPr>
            <w:tcW w:type="dxa" w:w="794"/>
            <w:vAlign w:val="center"/>
          </w:tcPr>
          <w:p>
            <w:pPr>
              <w:keepNext/>
              <w:spacing w:after="0"/>
              <w:jc w:val="center"/>
            </w:pPr>
            <w:r>
              <w:rPr>
                <w:rFonts w:ascii="游ゴシック" w:hAnsi="游ゴシック" w:eastAsia="游ゴシック"/>
                <w:b w:val="0"/>
                <w:sz w:val="18"/>
              </w:rPr>
              <w:t>No.163</w:t>
            </w:r>
          </w:p>
        </w:tc>
        <w:tc>
          <w:tcPr>
            <w:tcW w:type="dxa" w:w="2948"/>
            <w:vAlign w:val="center"/>
          </w:tcPr>
          <w:p>
            <w:pPr>
              <w:keepNext/>
              <w:spacing w:after="0"/>
            </w:pPr>
            <w:r>
              <w:rPr>
                <w:rFonts w:ascii="游ゴシック" w:hAnsi="游ゴシック" w:eastAsia="游ゴシック"/>
                <w:b w:val="0"/>
                <w:sz w:val="18"/>
              </w:rPr>
              <w:t>美瑛町の地域リハビリテーション活動支援事業の3町展開</w:t>
            </w:r>
          </w:p>
        </w:tc>
        <w:tc>
          <w:tcPr>
            <w:tcW w:type="dxa" w:w="4876"/>
            <w:vAlign w:val="center"/>
          </w:tcPr>
          <w:p>
            <w:pPr>
              <w:keepNext/>
              <w:spacing w:after="0"/>
            </w:pPr>
            <w:r>
              <w:rPr>
                <w:rFonts w:ascii="游ゴシック" w:hAnsi="游ゴシック" w:eastAsia="游ゴシック"/>
                <w:b w:val="0"/>
                <w:sz w:val="18"/>
              </w:rPr>
              <w:t>美瑛町の取組として記述し3町展開は記述しない</w:t>
            </w:r>
          </w:p>
        </w:tc>
        <w:tc>
          <w:tcPr>
            <w:tcW w:type="dxa" w:w="1134"/>
            <w:vAlign w:val="center"/>
          </w:tcPr>
          <w:p>
            <w:pPr>
              <w:keepNext/>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keepNext/>
              <w:spacing w:after="0"/>
              <w:jc w:val="center"/>
            </w:pPr>
            <w:r>
              <w:rPr>
                <w:rFonts w:ascii="游ゴシック" w:hAnsi="游ゴシック" w:eastAsia="游ゴシック"/>
                <w:b w:val="0"/>
                <w:sz w:val="18"/>
              </w:rPr>
              <w:t>No.164</w:t>
            </w:r>
          </w:p>
        </w:tc>
        <w:tc>
          <w:tcPr>
            <w:tcW w:type="dxa" w:w="2948"/>
            <w:shd w:val="clear" w:color="auto" w:fill="F2F5FA"/>
            <w:vAlign w:val="center"/>
          </w:tcPr>
          <w:p>
            <w:pPr>
              <w:keepNext/>
              <w:spacing w:after="0"/>
            </w:pPr>
            <w:r>
              <w:rPr>
                <w:rFonts w:ascii="游ゴシック" w:hAnsi="游ゴシック" w:eastAsia="游ゴシック"/>
                <w:b w:val="0"/>
                <w:sz w:val="18"/>
              </w:rPr>
              <w:t>美瑛町の地域密着型介護老人福祉施設の整備方針</w:t>
            </w:r>
          </w:p>
        </w:tc>
        <w:tc>
          <w:tcPr>
            <w:tcW w:type="dxa" w:w="4876"/>
            <w:shd w:val="clear" w:color="auto" w:fill="F2F5FA"/>
            <w:vAlign w:val="center"/>
          </w:tcPr>
          <w:p>
            <w:pPr>
              <w:keepNext/>
              <w:spacing w:after="0"/>
            </w:pPr>
            <w:r>
              <w:rPr>
                <w:rFonts w:ascii="游ゴシック" w:hAnsi="游ゴシック" w:eastAsia="游ゴシック"/>
                <w:b w:val="0"/>
                <w:sz w:val="18"/>
              </w:rPr>
              <w:t>現定員の据え置き案を掲げ本文は［要協議］のまま残す</w:t>
            </w:r>
          </w:p>
        </w:tc>
        <w:tc>
          <w:tcPr>
            <w:tcW w:type="dxa" w:w="1134"/>
            <w:shd w:val="clear" w:color="auto" w:fill="F2F5FA"/>
            <w:vAlign w:val="center"/>
          </w:tcPr>
          <w:p>
            <w:pPr>
              <w:keepNext/>
              <w:spacing w:after="0"/>
              <w:jc w:val="center"/>
            </w:pPr>
            <w:r>
              <w:rPr>
                <w:rFonts w:ascii="游ゴシック" w:hAnsi="游ゴシック" w:eastAsia="游ゴシック"/>
                <w:b w:val="0"/>
                <w:sz w:val="18"/>
              </w:rPr>
              <w:t>R8.10</w:t>
            </w:r>
          </w:p>
        </w:tc>
      </w:tr>
      <w:tr>
        <w:trPr>
          <w:cantSplit/>
        </w:trPr>
        <w:tc>
          <w:tcPr>
            <w:tcW w:type="dxa" w:w="794"/>
            <w:vAlign w:val="center"/>
          </w:tcPr>
          <w:p>
            <w:pPr>
              <w:spacing w:after="0"/>
              <w:jc w:val="center"/>
            </w:pPr>
            <w:r>
              <w:rPr>
                <w:rFonts w:ascii="游ゴシック" w:hAnsi="游ゴシック" w:eastAsia="游ゴシック"/>
                <w:b w:val="0"/>
                <w:sz w:val="18"/>
              </w:rPr>
              <w:t>No.165</w:t>
            </w:r>
          </w:p>
        </w:tc>
        <w:tc>
          <w:tcPr>
            <w:tcW w:type="dxa" w:w="2948"/>
            <w:vAlign w:val="center"/>
          </w:tcPr>
          <w:p>
            <w:pPr>
              <w:spacing w:after="0"/>
            </w:pPr>
            <w:r>
              <w:rPr>
                <w:rFonts w:ascii="游ゴシック" w:hAnsi="游ゴシック" w:eastAsia="游ゴシック"/>
                <w:b w:val="0"/>
                <w:sz w:val="18"/>
              </w:rPr>
              <w:t>美瑛町の難聴高齢者の早期発見・早期介入の取組</w:t>
            </w:r>
          </w:p>
        </w:tc>
        <w:tc>
          <w:tcPr>
            <w:tcW w:type="dxa" w:w="4876"/>
            <w:vAlign w:val="center"/>
          </w:tcPr>
          <w:p>
            <w:pPr>
              <w:spacing w:after="0"/>
            </w:pPr>
            <w:r>
              <w:rPr>
                <w:rFonts w:ascii="游ゴシック" w:hAnsi="游ゴシック" w:eastAsia="游ゴシック"/>
                <w:b w:val="0"/>
                <w:sz w:val="18"/>
              </w:rPr>
              <w:t>現に確認できる取組の範囲で記述する</w:t>
            </w:r>
          </w:p>
        </w:tc>
        <w:tc>
          <w:tcPr>
            <w:tcW w:type="dxa" w:w="1134"/>
            <w:vAlign w:val="center"/>
          </w:tcPr>
          <w:p>
            <w:pPr>
              <w:spacing w:after="0"/>
              <w:jc w:val="center"/>
            </w:pPr>
            <w:r>
              <w:rPr>
                <w:rFonts w:ascii="游ゴシック" w:hAnsi="游ゴシック" w:eastAsia="游ゴシック"/>
                <w:b w:val="0"/>
                <w:sz w:val="18"/>
              </w:rPr>
              <w:t>R8.10</w:t>
            </w:r>
          </w:p>
        </w:tc>
      </w:tr>
    </w:tbl>
    <w:p>
      <w:pPr>
        <w:keepNext/>
        <w:spacing w:before="160" w:after="40"/>
      </w:pPr>
      <w:r>
        <w:rPr>
          <w:rFonts w:ascii="游ゴシック" w:hAnsi="游ゴシック" w:eastAsia="游ゴシック"/>
          <w:b/>
          <w:sz w:val="20"/>
        </w:rPr>
        <w:t>表18　東神楽町　2件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keepNext/>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4876"/>
            <w:shd w:val="clear" w:color="auto" w:fill="1F3864"/>
            <w:vAlign w:val="center"/>
          </w:tcPr>
          <w:p>
            <w:pPr>
              <w:keepNext/>
              <w:spacing w:after="0"/>
              <w:jc w:val="center"/>
            </w:pPr>
            <w:r>
              <w:rPr>
                <w:rFonts w:ascii="游ゴシック" w:hAnsi="游ゴシック" w:eastAsia="游ゴシック"/>
                <w:b/>
                <w:color w:val="FFFFFF"/>
                <w:sz w:val="18"/>
              </w:rPr>
              <w:t>決まらない場合の当方の扱い（仮置き）</w:t>
            </w:r>
          </w:p>
        </w:tc>
        <w:tc>
          <w:tcPr>
            <w:tcW w:type="dxa" w:w="1134"/>
            <w:shd w:val="clear" w:color="auto" w:fill="1F3864"/>
            <w:vAlign w:val="center"/>
          </w:tcPr>
          <w:p>
            <w:pPr>
              <w:keepNext/>
              <w:spacing w:after="0"/>
              <w:jc w:val="center"/>
            </w:pPr>
            <w:r>
              <w:rPr>
                <w:rFonts w:ascii="游ゴシック" w:hAnsi="游ゴシック" w:eastAsia="游ゴシック"/>
                <w:b/>
                <w:color w:val="FFFFFF"/>
                <w:sz w:val="18"/>
              </w:rPr>
              <w:t>期限</w:t>
            </w:r>
          </w:p>
        </w:tc>
      </w:tr>
      <w:tr>
        <w:trPr>
          <w:cantSplit/>
        </w:trPr>
        <w:tc>
          <w:tcPr>
            <w:tcW w:type="dxa" w:w="794"/>
            <w:vAlign w:val="center"/>
          </w:tcPr>
          <w:p>
            <w:pPr>
              <w:keepNext/>
              <w:spacing w:after="0"/>
              <w:jc w:val="center"/>
            </w:pPr>
            <w:r>
              <w:rPr>
                <w:rFonts w:ascii="游ゴシック" w:hAnsi="游ゴシック" w:eastAsia="游ゴシック"/>
                <w:b w:val="0"/>
                <w:sz w:val="18"/>
              </w:rPr>
              <w:t>No.166</w:t>
            </w:r>
          </w:p>
        </w:tc>
        <w:tc>
          <w:tcPr>
            <w:tcW w:type="dxa" w:w="2948"/>
            <w:vAlign w:val="center"/>
          </w:tcPr>
          <w:p>
            <w:pPr>
              <w:keepNext/>
              <w:spacing w:after="0"/>
            </w:pPr>
            <w:r>
              <w:rPr>
                <w:rFonts w:ascii="游ゴシック" w:hAnsi="游ゴシック" w:eastAsia="游ゴシック"/>
                <w:b w:val="0"/>
                <w:sz w:val="18"/>
              </w:rPr>
              <w:t>東神楽町の通いの場の維持</w:t>
            </w:r>
          </w:p>
        </w:tc>
        <w:tc>
          <w:tcPr>
            <w:tcW w:type="dxa" w:w="4876"/>
            <w:vAlign w:val="center"/>
          </w:tcPr>
          <w:p>
            <w:pPr>
              <w:keepNext/>
              <w:spacing w:after="0"/>
            </w:pPr>
            <w:r>
              <w:rPr>
                <w:rFonts w:ascii="游ゴシック" w:hAnsi="游ゴシック" w:eastAsia="游ゴシック"/>
                <w:b w:val="0"/>
                <w:sz w:val="18"/>
              </w:rPr>
              <w:t>令和6年度の水準が続くものとして目標値を置く</w:t>
            </w:r>
          </w:p>
        </w:tc>
        <w:tc>
          <w:tcPr>
            <w:tcW w:type="dxa" w:w="1134"/>
            <w:vAlign w:val="center"/>
          </w:tcPr>
          <w:p>
            <w:pPr>
              <w:keepNext/>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No.167</w:t>
            </w:r>
          </w:p>
        </w:tc>
        <w:tc>
          <w:tcPr>
            <w:tcW w:type="dxa" w:w="2948"/>
            <w:shd w:val="clear" w:color="auto" w:fill="F2F5FA"/>
            <w:vAlign w:val="center"/>
          </w:tcPr>
          <w:p>
            <w:pPr>
              <w:spacing w:after="0"/>
            </w:pPr>
            <w:r>
              <w:rPr>
                <w:rFonts w:ascii="游ゴシック" w:hAnsi="游ゴシック" w:eastAsia="游ゴシック"/>
                <w:b w:val="0"/>
                <w:sz w:val="18"/>
              </w:rPr>
              <w:t>東神楽町の認知症サポーター・ステップアップ講座の実施状況</w:t>
            </w:r>
          </w:p>
        </w:tc>
        <w:tc>
          <w:tcPr>
            <w:tcW w:type="dxa" w:w="4876"/>
            <w:shd w:val="clear" w:color="auto" w:fill="F2F5FA"/>
            <w:vAlign w:val="center"/>
          </w:tcPr>
          <w:p>
            <w:pPr>
              <w:spacing w:after="0"/>
            </w:pPr>
            <w:r>
              <w:rPr>
                <w:rFonts w:ascii="游ゴシック" w:hAnsi="游ゴシック" w:eastAsia="游ゴシック"/>
                <w:b w:val="0"/>
                <w:sz w:val="18"/>
              </w:rPr>
              <w:t>現に確認できる取組の範囲で記述し目標値は置かない</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bl>
    <w:p>
      <w:pPr>
        <w:spacing w:after="80"/>
      </w:pPr>
      <w:r>
        <w:rPr>
          <w:rFonts w:ascii="游ゴシック" w:hAnsi="游ゴシック" w:eastAsia="游ゴシック"/>
          <w:b w:val="0"/>
          <w:sz w:val="17"/>
        </w:rPr>
        <w:t>資料：10月 地域課題の整理と3町協議の確認事項（03〜05シート）</w:t>
      </w:r>
    </w:p>
    <w:p>
      <w:pPr>
        <w:keepNext/>
        <w:pageBreakBefore/>
        <w:spacing w:before="0" w:after="120"/>
      </w:pPr>
      <w:r>
        <w:rPr>
          <w:rFonts w:ascii="游ゴシック" w:hAnsi="游ゴシック" w:eastAsia="游ゴシック"/>
          <w:b/>
          <w:color w:val="1F3864"/>
          <w:sz w:val="26"/>
        </w:rPr>
        <w:t>第9節　資料のご提供をお願いしたいもの</w:t>
      </w:r>
    </w:p>
    <w:p>
      <w:pPr>
        <w:spacing w:after="80"/>
      </w:pPr>
      <w:r>
        <w:rPr>
          <w:rFonts w:ascii="游ゴシック" w:hAnsi="游ゴシック" w:eastAsia="游ゴシック"/>
          <w:b w:val="0"/>
          <w:sz w:val="20"/>
        </w:rPr>
        <w:t>資料の提供依頼23件のうち、まだ受領していないものが21件あります。うち優先度の高いものが14件です。</w:t>
      </w:r>
    </w:p>
    <w:p>
      <w:pPr>
        <w:spacing w:after="80"/>
      </w:pPr>
      <w:r>
        <w:rPr>
          <w:rFonts w:ascii="游ゴシック" w:hAnsi="游ゴシック" w:eastAsia="游ゴシック"/>
          <w:b w:val="0"/>
          <w:sz w:val="20"/>
        </w:rPr>
        <w:t>いずれも届かない場合は現に確認できている値のまま確定します。算定そのものが止まるものはありません。ただし、国の告示・公布を待つもの（第4節）は資料のご提供とは別に残ります。</w:t>
      </w:r>
    </w:p>
    <w:p>
      <w:pPr>
        <w:keepNext/>
        <w:spacing w:before="160" w:after="40"/>
      </w:pPr>
      <w:r>
        <w:rPr>
          <w:rFonts w:ascii="游ゴシック" w:hAnsi="游ゴシック" w:eastAsia="游ゴシック"/>
          <w:b/>
          <w:sz w:val="20"/>
        </w:rPr>
        <w:t>表19　優先度の高い資料　14件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567"/>
            <w:shd w:val="clear" w:color="auto" w:fill="1F3864"/>
            <w:vAlign w:val="center"/>
          </w:tcPr>
          <w:p>
            <w:pPr>
              <w:spacing w:after="0"/>
              <w:jc w:val="center"/>
            </w:pPr>
            <w:r>
              <w:rPr>
                <w:rFonts w:ascii="游ゴシック" w:hAnsi="游ゴシック" w:eastAsia="游ゴシック"/>
                <w:b/>
                <w:color w:val="FFFFFF"/>
                <w:sz w:val="16"/>
              </w:rPr>
              <w:t>No.</w:t>
            </w:r>
          </w:p>
        </w:tc>
        <w:tc>
          <w:tcPr>
            <w:tcW w:type="dxa" w:w="3628"/>
            <w:shd w:val="clear" w:color="auto" w:fill="1F3864"/>
            <w:vAlign w:val="center"/>
          </w:tcPr>
          <w:p>
            <w:pPr>
              <w:spacing w:after="0"/>
              <w:jc w:val="center"/>
            </w:pPr>
            <w:r>
              <w:rPr>
                <w:rFonts w:ascii="游ゴシック" w:hAnsi="游ゴシック" w:eastAsia="游ゴシック"/>
                <w:b/>
                <w:color w:val="FFFFFF"/>
                <w:sz w:val="16"/>
              </w:rPr>
              <w:t>資料</w:t>
            </w:r>
          </w:p>
        </w:tc>
        <w:tc>
          <w:tcPr>
            <w:tcW w:type="dxa" w:w="2835"/>
            <w:shd w:val="clear" w:color="auto" w:fill="1F3864"/>
            <w:vAlign w:val="center"/>
          </w:tcPr>
          <w:p>
            <w:pPr>
              <w:spacing w:after="0"/>
              <w:jc w:val="center"/>
            </w:pPr>
            <w:r>
              <w:rPr>
                <w:rFonts w:ascii="游ゴシック" w:hAnsi="游ゴシック" w:eastAsia="游ゴシック"/>
                <w:b/>
                <w:color w:val="FFFFFF"/>
                <w:sz w:val="16"/>
              </w:rPr>
              <w:t>用途</w:t>
            </w:r>
          </w:p>
        </w:tc>
        <w:tc>
          <w:tcPr>
            <w:tcW w:type="dxa" w:w="1474"/>
            <w:shd w:val="clear" w:color="auto" w:fill="1F3864"/>
            <w:vAlign w:val="center"/>
          </w:tcPr>
          <w:p>
            <w:pPr>
              <w:spacing w:after="0"/>
              <w:jc w:val="center"/>
            </w:pPr>
            <w:r>
              <w:rPr>
                <w:rFonts w:ascii="游ゴシック" w:hAnsi="游ゴシック" w:eastAsia="游ゴシック"/>
                <w:b/>
                <w:color w:val="FFFFFF"/>
                <w:sz w:val="16"/>
              </w:rPr>
              <w:t>お願い先</w:t>
            </w:r>
          </w:p>
        </w:tc>
        <w:tc>
          <w:tcPr>
            <w:tcW w:type="dxa" w:w="1020"/>
            <w:shd w:val="clear" w:color="auto" w:fill="1F3864"/>
            <w:vAlign w:val="center"/>
          </w:tcPr>
          <w:p>
            <w:pPr>
              <w:spacing w:after="0"/>
              <w:jc w:val="center"/>
            </w:pPr>
            <w:r>
              <w:rPr>
                <w:rFonts w:ascii="游ゴシック" w:hAnsi="游ゴシック" w:eastAsia="游ゴシック"/>
                <w:b/>
                <w:color w:val="FFFFFF"/>
                <w:sz w:val="16"/>
              </w:rPr>
              <w:t>期限</w:t>
            </w:r>
          </w:p>
        </w:tc>
      </w:tr>
      <w:tr>
        <w:trPr>
          <w:cantSplit/>
        </w:trPr>
        <w:tc>
          <w:tcPr>
            <w:tcW w:type="dxa" w:w="567"/>
            <w:vAlign w:val="center"/>
          </w:tcPr>
          <w:p>
            <w:pPr>
              <w:spacing w:after="0"/>
              <w:jc w:val="center"/>
            </w:pPr>
            <w:r>
              <w:rPr>
                <w:rFonts w:ascii="游ゴシック" w:hAnsi="游ゴシック" w:eastAsia="游ゴシック"/>
                <w:b w:val="0"/>
                <w:sz w:val="16"/>
              </w:rPr>
              <w:t>3</w:t>
            </w:r>
          </w:p>
        </w:tc>
        <w:tc>
          <w:tcPr>
            <w:tcW w:type="dxa" w:w="3628"/>
            <w:vAlign w:val="center"/>
          </w:tcPr>
          <w:p>
            <w:pPr>
              <w:spacing w:after="0"/>
            </w:pPr>
            <w:r>
              <w:rPr>
                <w:rFonts w:ascii="游ゴシック" w:hAnsi="游ゴシック" w:eastAsia="游ゴシック"/>
                <w:b w:val="0"/>
                <w:sz w:val="16"/>
              </w:rPr>
              <w:t>令和6年・令和7年の町別住民基本台帳人口（年齢4区分別）</w:t>
            </w:r>
          </w:p>
        </w:tc>
        <w:tc>
          <w:tcPr>
            <w:tcW w:type="dxa" w:w="2835"/>
            <w:vAlign w:val="center"/>
          </w:tcPr>
          <w:p>
            <w:pPr>
              <w:spacing w:after="0"/>
            </w:pPr>
            <w:r>
              <w:rPr>
                <w:rFonts w:ascii="游ゴシック" w:hAnsi="游ゴシック" w:eastAsia="游ゴシック"/>
                <w:b w:val="0"/>
                <w:sz w:val="16"/>
              </w:rPr>
              <w:t>東川町の人口推計の乖離の要因、第10期の人口推計の基礎</w:t>
            </w:r>
          </w:p>
        </w:tc>
        <w:tc>
          <w:tcPr>
            <w:tcW w:type="dxa" w:w="1474"/>
            <w:vAlign w:val="center"/>
          </w:tcPr>
          <w:p>
            <w:pPr>
              <w:spacing w:after="0"/>
            </w:pPr>
            <w:r>
              <w:rPr>
                <w:rFonts w:ascii="游ゴシック" w:hAnsi="游ゴシック" w:eastAsia="游ゴシック"/>
                <w:b w:val="0"/>
                <w:sz w:val="16"/>
              </w:rPr>
              <w:t>3町</w:t>
            </w:r>
          </w:p>
        </w:tc>
        <w:tc>
          <w:tcPr>
            <w:tcW w:type="dxa" w:w="1020"/>
            <w:vAlign w:val="center"/>
          </w:tcPr>
          <w:p>
            <w:pPr>
              <w:spacing w:after="0"/>
              <w:jc w:val="center"/>
            </w:pPr>
            <w:r>
              <w:rPr>
                <w:rFonts w:ascii="游ゴシック" w:hAnsi="游ゴシック" w:eastAsia="游ゴシック"/>
                <w:b w:val="0"/>
                <w:sz w:val="16"/>
              </w:rPr>
              <w:t>R8.9</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6"/>
              </w:rPr>
              <w:t>5</w:t>
            </w:r>
          </w:p>
        </w:tc>
        <w:tc>
          <w:tcPr>
            <w:tcW w:type="dxa" w:w="3628"/>
            <w:shd w:val="clear" w:color="auto" w:fill="F2F5FA"/>
            <w:vAlign w:val="center"/>
          </w:tcPr>
          <w:p>
            <w:pPr>
              <w:spacing w:after="0"/>
            </w:pPr>
            <w:r>
              <w:rPr>
                <w:rFonts w:ascii="游ゴシック" w:hAnsi="游ゴシック" w:eastAsia="游ゴシック"/>
                <w:b w:val="0"/>
                <w:sz w:val="16"/>
              </w:rPr>
              <w:t>保険者機能強化推進交付金等の評価調書（令和4〜7年度分）</w:t>
            </w:r>
          </w:p>
        </w:tc>
        <w:tc>
          <w:tcPr>
            <w:tcW w:type="dxa" w:w="2835"/>
            <w:shd w:val="clear" w:color="auto" w:fill="F2F5FA"/>
            <w:vAlign w:val="center"/>
          </w:tcPr>
          <w:p>
            <w:pPr>
              <w:spacing w:after="0"/>
            </w:pPr>
            <w:r>
              <w:rPr>
                <w:rFonts w:ascii="游ゴシック" w:hAnsi="游ゴシック" w:eastAsia="游ゴシック"/>
                <w:b w:val="0"/>
                <w:sz w:val="16"/>
              </w:rPr>
              <w:t>交付金評価の解釈、W144の要因、評価対象期間</w:t>
            </w:r>
          </w:p>
        </w:tc>
        <w:tc>
          <w:tcPr>
            <w:tcW w:type="dxa" w:w="1474"/>
            <w:shd w:val="clear" w:color="auto" w:fill="F2F5FA"/>
            <w:vAlign w:val="center"/>
          </w:tcPr>
          <w:p>
            <w:pPr>
              <w:spacing w:after="0"/>
            </w:pPr>
            <w:r>
              <w:rPr>
                <w:rFonts w:ascii="游ゴシック" w:hAnsi="游ゴシック" w:eastAsia="游ゴシック"/>
                <w:b w:val="0"/>
                <w:sz w:val="16"/>
              </w:rPr>
              <w:t>発注者</w:t>
            </w:r>
          </w:p>
        </w:tc>
        <w:tc>
          <w:tcPr>
            <w:tcW w:type="dxa" w:w="1020"/>
            <w:shd w:val="clear" w:color="auto" w:fill="F2F5FA"/>
            <w:vAlign w:val="center"/>
          </w:tcPr>
          <w:p>
            <w:pPr>
              <w:spacing w:after="0"/>
              <w:jc w:val="center"/>
            </w:pPr>
            <w:r>
              <w:rPr>
                <w:rFonts w:ascii="游ゴシック" w:hAnsi="游ゴシック" w:eastAsia="游ゴシック"/>
                <w:b w:val="0"/>
                <w:sz w:val="16"/>
              </w:rPr>
              <w:t>R8.9</w:t>
            </w:r>
          </w:p>
        </w:tc>
      </w:tr>
      <w:tr>
        <w:trPr>
          <w:cantSplit/>
        </w:trPr>
        <w:tc>
          <w:tcPr>
            <w:tcW w:type="dxa" w:w="567"/>
            <w:vAlign w:val="center"/>
          </w:tcPr>
          <w:p>
            <w:pPr>
              <w:spacing w:after="0"/>
              <w:jc w:val="center"/>
            </w:pPr>
            <w:r>
              <w:rPr>
                <w:rFonts w:ascii="游ゴシック" w:hAnsi="游ゴシック" w:eastAsia="游ゴシック"/>
                <w:b w:val="0"/>
                <w:sz w:val="16"/>
              </w:rPr>
              <w:t>6</w:t>
            </w:r>
          </w:p>
        </w:tc>
        <w:tc>
          <w:tcPr>
            <w:tcW w:type="dxa" w:w="3628"/>
            <w:vAlign w:val="center"/>
          </w:tcPr>
          <w:p>
            <w:pPr>
              <w:spacing w:after="0"/>
            </w:pPr>
            <w:r>
              <w:rPr>
                <w:rFonts w:ascii="游ゴシック" w:hAnsi="游ゴシック" w:eastAsia="游ゴシック"/>
                <w:b w:val="0"/>
                <w:sz w:val="16"/>
              </w:rPr>
              <w:t>国民健康保険団体連合会の給付実績情報と指定事業所台帳（一部解消）</w:t>
            </w:r>
          </w:p>
        </w:tc>
        <w:tc>
          <w:tcPr>
            <w:tcW w:type="dxa" w:w="2835"/>
            <w:vAlign w:val="center"/>
          </w:tcPr>
          <w:p>
            <w:pPr>
              <w:spacing w:after="0"/>
            </w:pPr>
            <w:r>
              <w:rPr>
                <w:rFonts w:ascii="游ゴシック" w:hAnsi="游ゴシック" w:eastAsia="游ゴシック"/>
                <w:b w:val="0"/>
                <w:sz w:val="16"/>
              </w:rPr>
              <w:t>給付水準の要因（区域外利用との関係は無相関と判明）</w:t>
            </w:r>
          </w:p>
        </w:tc>
        <w:tc>
          <w:tcPr>
            <w:tcW w:type="dxa" w:w="1474"/>
            <w:vAlign w:val="center"/>
          </w:tcPr>
          <w:p>
            <w:pPr>
              <w:spacing w:after="0"/>
            </w:pPr>
            <w:r>
              <w:rPr>
                <w:rFonts w:ascii="游ゴシック" w:hAnsi="游ゴシック" w:eastAsia="游ゴシック"/>
                <w:b w:val="0"/>
                <w:sz w:val="16"/>
              </w:rPr>
              <w:t>発注者・国保連</w:t>
            </w:r>
          </w:p>
        </w:tc>
        <w:tc>
          <w:tcPr>
            <w:tcW w:type="dxa" w:w="1020"/>
            <w:vAlign w:val="center"/>
          </w:tcPr>
          <w:p>
            <w:pPr>
              <w:spacing w:after="0"/>
              <w:jc w:val="center"/>
            </w:pPr>
            <w:r>
              <w:rPr>
                <w:rFonts w:ascii="游ゴシック" w:hAnsi="游ゴシック" w:eastAsia="游ゴシック"/>
                <w:b w:val="0"/>
                <w:sz w:val="16"/>
              </w:rPr>
              <w:t>R8.10</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6"/>
              </w:rPr>
              <w:t>7</w:t>
            </w:r>
          </w:p>
        </w:tc>
        <w:tc>
          <w:tcPr>
            <w:tcW w:type="dxa" w:w="3628"/>
            <w:shd w:val="clear" w:color="auto" w:fill="F2F5FA"/>
            <w:vAlign w:val="center"/>
          </w:tcPr>
          <w:p>
            <w:pPr>
              <w:spacing w:after="0"/>
            </w:pPr>
            <w:r>
              <w:rPr>
                <w:rFonts w:ascii="游ゴシック" w:hAnsi="游ゴシック" w:eastAsia="游ゴシック"/>
                <w:b w:val="0"/>
                <w:sz w:val="16"/>
              </w:rPr>
              <w:t>事業所・施設の定員と稼働の実績</w:t>
            </w:r>
          </w:p>
        </w:tc>
        <w:tc>
          <w:tcPr>
            <w:tcW w:type="dxa" w:w="2835"/>
            <w:shd w:val="clear" w:color="auto" w:fill="F2F5FA"/>
            <w:vAlign w:val="center"/>
          </w:tcPr>
          <w:p>
            <w:pPr>
              <w:spacing w:after="0"/>
            </w:pPr>
            <w:r>
              <w:rPr>
                <w:rFonts w:ascii="游ゴシック" w:hAnsi="游ゴシック" w:eastAsia="游ゴシック"/>
                <w:b w:val="0"/>
                <w:sz w:val="16"/>
              </w:rPr>
              <w:t>稼働率の低下の有無、定員減少の経緯</w:t>
            </w:r>
          </w:p>
        </w:tc>
        <w:tc>
          <w:tcPr>
            <w:tcW w:type="dxa" w:w="1474"/>
            <w:shd w:val="clear" w:color="auto" w:fill="F2F5FA"/>
            <w:vAlign w:val="center"/>
          </w:tcPr>
          <w:p>
            <w:pPr>
              <w:spacing w:after="0"/>
            </w:pPr>
            <w:r>
              <w:rPr>
                <w:rFonts w:ascii="游ゴシック" w:hAnsi="游ゴシック" w:eastAsia="游ゴシック"/>
                <w:b w:val="0"/>
                <w:sz w:val="16"/>
              </w:rPr>
              <w:t>発注者・3町</w:t>
            </w:r>
          </w:p>
        </w:tc>
        <w:tc>
          <w:tcPr>
            <w:tcW w:type="dxa" w:w="1020"/>
            <w:shd w:val="clear" w:color="auto" w:fill="F2F5FA"/>
            <w:vAlign w:val="center"/>
          </w:tcPr>
          <w:p>
            <w:pPr>
              <w:spacing w:after="0"/>
              <w:jc w:val="center"/>
            </w:pPr>
            <w:r>
              <w:rPr>
                <w:rFonts w:ascii="游ゴシック" w:hAnsi="游ゴシック" w:eastAsia="游ゴシック"/>
                <w:b w:val="0"/>
                <w:sz w:val="16"/>
              </w:rPr>
              <w:t>R8.10</w:t>
            </w:r>
          </w:p>
        </w:tc>
      </w:tr>
      <w:tr>
        <w:trPr>
          <w:cantSplit/>
        </w:trPr>
        <w:tc>
          <w:tcPr>
            <w:tcW w:type="dxa" w:w="567"/>
            <w:vAlign w:val="center"/>
          </w:tcPr>
          <w:p>
            <w:pPr>
              <w:spacing w:after="0"/>
              <w:jc w:val="center"/>
            </w:pPr>
            <w:r>
              <w:rPr>
                <w:rFonts w:ascii="游ゴシック" w:hAnsi="游ゴシック" w:eastAsia="游ゴシック"/>
                <w:b w:val="0"/>
                <w:sz w:val="16"/>
              </w:rPr>
              <w:t>8</w:t>
            </w:r>
          </w:p>
        </w:tc>
        <w:tc>
          <w:tcPr>
            <w:tcW w:type="dxa" w:w="3628"/>
            <w:vAlign w:val="center"/>
          </w:tcPr>
          <w:p>
            <w:pPr>
              <w:spacing w:after="0"/>
            </w:pPr>
            <w:r>
              <w:rPr>
                <w:rFonts w:ascii="游ゴシック" w:hAnsi="游ゴシック" w:eastAsia="游ゴシック"/>
                <w:b w:val="0"/>
                <w:sz w:val="16"/>
              </w:rPr>
              <w:t>未利用認定者の内訳とケアプランのサービス構成</w:t>
            </w:r>
          </w:p>
        </w:tc>
        <w:tc>
          <w:tcPr>
            <w:tcW w:type="dxa" w:w="2835"/>
            <w:vAlign w:val="center"/>
          </w:tcPr>
          <w:p>
            <w:pPr>
              <w:spacing w:after="0"/>
            </w:pPr>
            <w:r>
              <w:rPr>
                <w:rFonts w:ascii="游ゴシック" w:hAnsi="游ゴシック" w:eastAsia="游ゴシック"/>
                <w:b w:val="0"/>
                <w:sz w:val="16"/>
              </w:rPr>
              <w:t>利用率低下の要因、訪問と通所の代替関係、要介護5の受給率低下の要因</w:t>
            </w:r>
          </w:p>
        </w:tc>
        <w:tc>
          <w:tcPr>
            <w:tcW w:type="dxa" w:w="1474"/>
            <w:vAlign w:val="center"/>
          </w:tcPr>
          <w:p>
            <w:pPr>
              <w:spacing w:after="0"/>
            </w:pPr>
            <w:r>
              <w:rPr>
                <w:rFonts w:ascii="游ゴシック" w:hAnsi="游ゴシック" w:eastAsia="游ゴシック"/>
                <w:b w:val="0"/>
                <w:sz w:val="16"/>
              </w:rPr>
              <w:t>発注者</w:t>
            </w:r>
          </w:p>
        </w:tc>
        <w:tc>
          <w:tcPr>
            <w:tcW w:type="dxa" w:w="1020"/>
            <w:vAlign w:val="center"/>
          </w:tcPr>
          <w:p>
            <w:pPr>
              <w:spacing w:after="0"/>
              <w:jc w:val="center"/>
            </w:pPr>
            <w:r>
              <w:rPr>
                <w:rFonts w:ascii="游ゴシック" w:hAnsi="游ゴシック" w:eastAsia="游ゴシック"/>
                <w:b w:val="0"/>
                <w:sz w:val="16"/>
              </w:rPr>
              <w:t>R8.10</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6"/>
              </w:rPr>
              <w:t>9</w:t>
            </w:r>
          </w:p>
        </w:tc>
        <w:tc>
          <w:tcPr>
            <w:tcW w:type="dxa" w:w="3628"/>
            <w:shd w:val="clear" w:color="auto" w:fill="F2F5FA"/>
            <w:vAlign w:val="center"/>
          </w:tcPr>
          <w:p>
            <w:pPr>
              <w:spacing w:after="0"/>
            </w:pPr>
            <w:r>
              <w:rPr>
                <w:rFonts w:ascii="游ゴシック" w:hAnsi="游ゴシック" w:eastAsia="游ゴシック"/>
                <w:b w:val="0"/>
                <w:sz w:val="16"/>
              </w:rPr>
              <w:t>決算書及び介護給付費準備基金の積立・取崩実績</w:t>
            </w:r>
          </w:p>
        </w:tc>
        <w:tc>
          <w:tcPr>
            <w:tcW w:type="dxa" w:w="2835"/>
            <w:shd w:val="clear" w:color="auto" w:fill="F2F5FA"/>
            <w:vAlign w:val="center"/>
          </w:tcPr>
          <w:p>
            <w:pPr>
              <w:spacing w:after="0"/>
            </w:pPr>
            <w:r>
              <w:rPr>
                <w:rFonts w:ascii="游ゴシック" w:hAnsi="游ゴシック" w:eastAsia="游ゴシック"/>
                <w:b w:val="0"/>
                <w:sz w:val="16"/>
              </w:rPr>
              <w:t>第9期の剰余額（現在は概算）</w:t>
            </w:r>
          </w:p>
        </w:tc>
        <w:tc>
          <w:tcPr>
            <w:tcW w:type="dxa" w:w="1474"/>
            <w:shd w:val="clear" w:color="auto" w:fill="F2F5FA"/>
            <w:vAlign w:val="center"/>
          </w:tcPr>
          <w:p>
            <w:pPr>
              <w:spacing w:after="0"/>
            </w:pPr>
            <w:r>
              <w:rPr>
                <w:rFonts w:ascii="游ゴシック" w:hAnsi="游ゴシック" w:eastAsia="游ゴシック"/>
                <w:b w:val="0"/>
                <w:sz w:val="16"/>
              </w:rPr>
              <w:t>発注者</w:t>
            </w:r>
          </w:p>
        </w:tc>
        <w:tc>
          <w:tcPr>
            <w:tcW w:type="dxa" w:w="1020"/>
            <w:shd w:val="clear" w:color="auto" w:fill="F2F5FA"/>
            <w:vAlign w:val="center"/>
          </w:tcPr>
          <w:p>
            <w:pPr>
              <w:spacing w:after="0"/>
              <w:jc w:val="center"/>
            </w:pPr>
            <w:r>
              <w:rPr>
                <w:rFonts w:ascii="游ゴシック" w:hAnsi="游ゴシック" w:eastAsia="游ゴシック"/>
                <w:b w:val="0"/>
                <w:sz w:val="16"/>
              </w:rPr>
              <w:t>R8.10</w:t>
            </w:r>
          </w:p>
        </w:tc>
      </w:tr>
      <w:tr>
        <w:trPr>
          <w:cantSplit/>
        </w:trPr>
        <w:tc>
          <w:tcPr>
            <w:tcW w:type="dxa" w:w="567"/>
            <w:vAlign w:val="center"/>
          </w:tcPr>
          <w:p>
            <w:pPr>
              <w:spacing w:after="0"/>
              <w:jc w:val="center"/>
            </w:pPr>
            <w:r>
              <w:rPr>
                <w:rFonts w:ascii="游ゴシック" w:hAnsi="游ゴシック" w:eastAsia="游ゴシック"/>
                <w:b w:val="0"/>
                <w:sz w:val="16"/>
              </w:rPr>
              <w:t>11</w:t>
            </w:r>
          </w:p>
        </w:tc>
        <w:tc>
          <w:tcPr>
            <w:tcW w:type="dxa" w:w="3628"/>
            <w:vAlign w:val="center"/>
          </w:tcPr>
          <w:p>
            <w:pPr>
              <w:spacing w:after="0"/>
            </w:pPr>
            <w:r>
              <w:rPr>
                <w:rFonts w:ascii="游ゴシック" w:hAnsi="游ゴシック" w:eastAsia="游ゴシック"/>
                <w:b w:val="0"/>
                <w:sz w:val="16"/>
              </w:rPr>
              <w:t>第10期の政令改正の内容（所得段階・乗率・負担割合）</w:t>
            </w:r>
          </w:p>
        </w:tc>
        <w:tc>
          <w:tcPr>
            <w:tcW w:type="dxa" w:w="2835"/>
            <w:vAlign w:val="center"/>
          </w:tcPr>
          <w:p>
            <w:pPr>
              <w:spacing w:after="0"/>
            </w:pPr>
            <w:r>
              <w:rPr>
                <w:rFonts w:ascii="游ゴシック" w:hAnsi="游ゴシック" w:eastAsia="游ゴシック"/>
                <w:b w:val="0"/>
                <w:sz w:val="16"/>
              </w:rPr>
              <w:t>第10期の段階設計と保険料算定</w:t>
            </w:r>
          </w:p>
        </w:tc>
        <w:tc>
          <w:tcPr>
            <w:tcW w:type="dxa" w:w="1474"/>
            <w:vAlign w:val="center"/>
          </w:tcPr>
          <w:p>
            <w:pPr>
              <w:spacing w:after="0"/>
            </w:pPr>
            <w:r>
              <w:rPr>
                <w:rFonts w:ascii="游ゴシック" w:hAnsi="游ゴシック" w:eastAsia="游ゴシック"/>
                <w:b w:val="0"/>
                <w:sz w:val="16"/>
              </w:rPr>
              <w:t>国の情報</w:t>
            </w:r>
          </w:p>
        </w:tc>
        <w:tc>
          <w:tcPr>
            <w:tcW w:type="dxa" w:w="1020"/>
            <w:vAlign w:val="center"/>
          </w:tcPr>
          <w:p>
            <w:pPr>
              <w:spacing w:after="0"/>
              <w:jc w:val="center"/>
            </w:pPr>
            <w:r>
              <w:rPr>
                <w:rFonts w:ascii="游ゴシック" w:hAnsi="游ゴシック" w:eastAsia="游ゴシック"/>
                <w:b w:val="0"/>
                <w:sz w:val="16"/>
              </w:rPr>
              <w:t>告示後</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6"/>
              </w:rPr>
              <w:t>14</w:t>
            </w:r>
          </w:p>
        </w:tc>
        <w:tc>
          <w:tcPr>
            <w:tcW w:type="dxa" w:w="3628"/>
            <w:shd w:val="clear" w:color="auto" w:fill="F2F5FA"/>
            <w:vAlign w:val="center"/>
          </w:tcPr>
          <w:p>
            <w:pPr>
              <w:spacing w:after="0"/>
            </w:pPr>
            <w:r>
              <w:rPr>
                <w:rFonts w:ascii="游ゴシック" w:hAnsi="游ゴシック" w:eastAsia="游ゴシック"/>
                <w:b w:val="0"/>
                <w:sz w:val="16"/>
              </w:rPr>
              <w:t>在宅生活改善調査・居所変更実態調査・介護人材実態調査の第10期分</w:t>
            </w:r>
          </w:p>
        </w:tc>
        <w:tc>
          <w:tcPr>
            <w:tcW w:type="dxa" w:w="2835"/>
            <w:shd w:val="clear" w:color="auto" w:fill="F2F5FA"/>
            <w:vAlign w:val="center"/>
          </w:tcPr>
          <w:p>
            <w:pPr>
              <w:spacing w:after="0"/>
            </w:pPr>
            <w:r>
              <w:rPr>
                <w:rFonts w:ascii="游ゴシック" w:hAnsi="游ゴシック" w:eastAsia="游ゴシック"/>
                <w:b w:val="0"/>
                <w:sz w:val="16"/>
              </w:rPr>
              <w:t>4調査横断のクロス集計、H06・H11・H13・H14の基準値</w:t>
            </w:r>
          </w:p>
        </w:tc>
        <w:tc>
          <w:tcPr>
            <w:tcW w:type="dxa" w:w="1474"/>
            <w:shd w:val="clear" w:color="auto" w:fill="F2F5FA"/>
            <w:vAlign w:val="center"/>
          </w:tcPr>
          <w:p>
            <w:pPr>
              <w:spacing w:after="0"/>
            </w:pPr>
            <w:r>
              <w:rPr>
                <w:rFonts w:ascii="游ゴシック" w:hAnsi="游ゴシック" w:eastAsia="游ゴシック"/>
                <w:b w:val="0"/>
                <w:sz w:val="16"/>
              </w:rPr>
              <w:t>発注者</w:t>
            </w:r>
          </w:p>
        </w:tc>
        <w:tc>
          <w:tcPr>
            <w:tcW w:type="dxa" w:w="1020"/>
            <w:shd w:val="clear" w:color="auto" w:fill="F2F5FA"/>
            <w:vAlign w:val="center"/>
          </w:tcPr>
          <w:p>
            <w:pPr>
              <w:spacing w:after="0"/>
              <w:jc w:val="center"/>
            </w:pPr>
            <w:r>
              <w:rPr>
                <w:rFonts w:ascii="游ゴシック" w:hAnsi="游ゴシック" w:eastAsia="游ゴシック"/>
                <w:b w:val="0"/>
                <w:sz w:val="16"/>
              </w:rPr>
              <w:t>R8.8</w:t>
            </w:r>
          </w:p>
        </w:tc>
      </w:tr>
      <w:tr>
        <w:trPr>
          <w:cantSplit/>
        </w:trPr>
        <w:tc>
          <w:tcPr>
            <w:tcW w:type="dxa" w:w="567"/>
            <w:vAlign w:val="center"/>
          </w:tcPr>
          <w:p>
            <w:pPr>
              <w:spacing w:after="0"/>
              <w:jc w:val="center"/>
            </w:pPr>
            <w:r>
              <w:rPr>
                <w:rFonts w:ascii="游ゴシック" w:hAnsi="游ゴシック" w:eastAsia="游ゴシック"/>
                <w:b w:val="0"/>
                <w:sz w:val="16"/>
              </w:rPr>
              <w:t>17</w:t>
            </w:r>
          </w:p>
        </w:tc>
        <w:tc>
          <w:tcPr>
            <w:tcW w:type="dxa" w:w="3628"/>
            <w:vAlign w:val="center"/>
          </w:tcPr>
          <w:p>
            <w:pPr>
              <w:spacing w:after="0"/>
            </w:pPr>
            <w:r>
              <w:rPr>
                <w:rFonts w:ascii="游ゴシック" w:hAnsi="游ゴシック" w:eastAsia="游ゴシック"/>
                <w:b w:val="0"/>
                <w:sz w:val="16"/>
              </w:rPr>
              <w:t>町別・サービス区分別の給付費（令和4〜7年度）</w:t>
            </w:r>
          </w:p>
        </w:tc>
        <w:tc>
          <w:tcPr>
            <w:tcW w:type="dxa" w:w="2835"/>
            <w:vAlign w:val="center"/>
          </w:tcPr>
          <w:p>
            <w:pPr>
              <w:spacing w:after="0"/>
            </w:pPr>
            <w:r>
              <w:rPr>
                <w:rFonts w:ascii="游ゴシック" w:hAnsi="游ゴシック" w:eastAsia="游ゴシック"/>
                <w:b w:val="0"/>
                <w:sz w:val="16"/>
              </w:rPr>
              <w:t>給付費の地域内還流の議論</w:t>
            </w:r>
          </w:p>
        </w:tc>
        <w:tc>
          <w:tcPr>
            <w:tcW w:type="dxa" w:w="1474"/>
            <w:vAlign w:val="center"/>
          </w:tcPr>
          <w:p>
            <w:pPr>
              <w:spacing w:after="0"/>
            </w:pPr>
            <w:r>
              <w:rPr>
                <w:rFonts w:ascii="游ゴシック" w:hAnsi="游ゴシック" w:eastAsia="游ゴシック"/>
                <w:b w:val="0"/>
                <w:sz w:val="16"/>
              </w:rPr>
              <w:t>発注者・国保連</w:t>
            </w:r>
          </w:p>
        </w:tc>
        <w:tc>
          <w:tcPr>
            <w:tcW w:type="dxa" w:w="1020"/>
            <w:vAlign w:val="center"/>
          </w:tcPr>
          <w:p>
            <w:pPr>
              <w:spacing w:after="0"/>
              <w:jc w:val="center"/>
            </w:pPr>
            <w:r>
              <w:rPr>
                <w:rFonts w:ascii="游ゴシック" w:hAnsi="游ゴシック" w:eastAsia="游ゴシック"/>
                <w:b w:val="0"/>
                <w:sz w:val="16"/>
              </w:rPr>
              <w:t>R8.10</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6"/>
              </w:rPr>
              <w:t>18</w:t>
            </w:r>
          </w:p>
        </w:tc>
        <w:tc>
          <w:tcPr>
            <w:tcW w:type="dxa" w:w="3628"/>
            <w:shd w:val="clear" w:color="auto" w:fill="F2F5FA"/>
            <w:vAlign w:val="center"/>
          </w:tcPr>
          <w:p>
            <w:pPr>
              <w:spacing w:after="0"/>
            </w:pPr>
            <w:r>
              <w:rPr>
                <w:rFonts w:ascii="游ゴシック" w:hAnsi="游ゴシック" w:eastAsia="游ゴシック"/>
                <w:b w:val="0"/>
                <w:sz w:val="16"/>
              </w:rPr>
              <w:t>指定事業所台帳（区域外事業所の所在地、区域内の地域密着型事業所）</w:t>
            </w:r>
          </w:p>
        </w:tc>
        <w:tc>
          <w:tcPr>
            <w:tcW w:type="dxa" w:w="2835"/>
            <w:shd w:val="clear" w:color="auto" w:fill="F2F5FA"/>
            <w:vAlign w:val="center"/>
          </w:tcPr>
          <w:p>
            <w:pPr>
              <w:spacing w:after="0"/>
            </w:pPr>
            <w:r>
              <w:rPr>
                <w:rFonts w:ascii="游ゴシック" w:hAnsi="游ゴシック" w:eastAsia="游ゴシック"/>
                <w:b w:val="0"/>
                <w:sz w:val="16"/>
              </w:rPr>
              <w:t>区域外利用の内訳、認知症対応型共同生活介護の区域内定員、居所変更実態調査の定員ベースの把握率</w:t>
            </w:r>
          </w:p>
        </w:tc>
        <w:tc>
          <w:tcPr>
            <w:tcW w:type="dxa" w:w="1474"/>
            <w:shd w:val="clear" w:color="auto" w:fill="F2F5FA"/>
            <w:vAlign w:val="center"/>
          </w:tcPr>
          <w:p>
            <w:pPr>
              <w:spacing w:after="0"/>
            </w:pPr>
            <w:r>
              <w:rPr>
                <w:rFonts w:ascii="游ゴシック" w:hAnsi="游ゴシック" w:eastAsia="游ゴシック"/>
                <w:b w:val="0"/>
                <w:sz w:val="16"/>
              </w:rPr>
              <w:t>発注者・国保連</w:t>
            </w:r>
          </w:p>
        </w:tc>
        <w:tc>
          <w:tcPr>
            <w:tcW w:type="dxa" w:w="1020"/>
            <w:shd w:val="clear" w:color="auto" w:fill="F2F5FA"/>
            <w:vAlign w:val="center"/>
          </w:tcPr>
          <w:p>
            <w:pPr>
              <w:spacing w:after="0"/>
              <w:jc w:val="center"/>
            </w:pPr>
            <w:r>
              <w:rPr>
                <w:rFonts w:ascii="游ゴシック" w:hAnsi="游ゴシック" w:eastAsia="游ゴシック"/>
                <w:b w:val="0"/>
                <w:sz w:val="16"/>
              </w:rPr>
              <w:t>R8.10</w:t>
            </w:r>
          </w:p>
        </w:tc>
      </w:tr>
      <w:tr>
        <w:trPr>
          <w:cantSplit/>
        </w:trPr>
        <w:tc>
          <w:tcPr>
            <w:tcW w:type="dxa" w:w="567"/>
            <w:vAlign w:val="center"/>
          </w:tcPr>
          <w:p>
            <w:pPr>
              <w:spacing w:after="0"/>
              <w:jc w:val="center"/>
            </w:pPr>
            <w:r>
              <w:rPr>
                <w:rFonts w:ascii="游ゴシック" w:hAnsi="游ゴシック" w:eastAsia="游ゴシック"/>
                <w:b w:val="0"/>
                <w:sz w:val="16"/>
              </w:rPr>
              <w:t>21</w:t>
            </w:r>
          </w:p>
        </w:tc>
        <w:tc>
          <w:tcPr>
            <w:tcW w:type="dxa" w:w="3628"/>
            <w:vAlign w:val="center"/>
          </w:tcPr>
          <w:p>
            <w:pPr>
              <w:spacing w:after="0"/>
            </w:pPr>
            <w:r>
              <w:rPr>
                <w:rFonts w:ascii="游ゴシック" w:hAnsi="游ゴシック" w:eastAsia="游ゴシック"/>
                <w:b w:val="0"/>
                <w:sz w:val="16"/>
              </w:rPr>
              <w:t>介護保険事業状況報告　年報（令和6年度・令和7年度）</w:t>
            </w:r>
          </w:p>
        </w:tc>
        <w:tc>
          <w:tcPr>
            <w:tcW w:type="dxa" w:w="2835"/>
            <w:vAlign w:val="center"/>
          </w:tcPr>
          <w:p>
            <w:pPr>
              <w:spacing w:after="0"/>
            </w:pPr>
            <w:r>
              <w:rPr>
                <w:rFonts w:ascii="游ゴシック" w:hAnsi="游ゴシック" w:eastAsia="游ゴシック"/>
                <w:b w:val="0"/>
                <w:sz w:val="16"/>
              </w:rPr>
              <w:t>第3段階の給付費の算定、H15の基準値</w:t>
            </w:r>
          </w:p>
        </w:tc>
        <w:tc>
          <w:tcPr>
            <w:tcW w:type="dxa" w:w="1474"/>
            <w:vAlign w:val="center"/>
          </w:tcPr>
          <w:p>
            <w:pPr>
              <w:spacing w:after="0"/>
            </w:pPr>
            <w:r>
              <w:rPr>
                <w:rFonts w:ascii="游ゴシック" w:hAnsi="游ゴシック" w:eastAsia="游ゴシック"/>
                <w:b w:val="0"/>
                <w:sz w:val="16"/>
              </w:rPr>
              <w:t>発注者</w:t>
            </w:r>
          </w:p>
        </w:tc>
        <w:tc>
          <w:tcPr>
            <w:tcW w:type="dxa" w:w="1020"/>
            <w:vAlign w:val="center"/>
          </w:tcPr>
          <w:p>
            <w:pPr>
              <w:spacing w:after="0"/>
              <w:jc w:val="center"/>
            </w:pPr>
            <w:r>
              <w:rPr>
                <w:rFonts w:ascii="游ゴシック" w:hAnsi="游ゴシック" w:eastAsia="游ゴシック"/>
                <w:b w:val="0"/>
                <w:sz w:val="16"/>
              </w:rPr>
              <w:t>R8.8</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6"/>
              </w:rPr>
              <w:t>22</w:t>
            </w:r>
          </w:p>
        </w:tc>
        <w:tc>
          <w:tcPr>
            <w:tcW w:type="dxa" w:w="3628"/>
            <w:shd w:val="clear" w:color="auto" w:fill="F2F5FA"/>
            <w:vAlign w:val="center"/>
          </w:tcPr>
          <w:p>
            <w:pPr>
              <w:spacing w:after="0"/>
            </w:pPr>
            <w:r>
              <w:rPr>
                <w:rFonts w:ascii="游ゴシック" w:hAnsi="游ゴシック" w:eastAsia="游ゴシック"/>
                <w:b w:val="0"/>
                <w:sz w:val="16"/>
              </w:rPr>
              <w:t>介護保険事業状況報告　月報（令和8年4月〜7月分）</w:t>
            </w:r>
          </w:p>
        </w:tc>
        <w:tc>
          <w:tcPr>
            <w:tcW w:type="dxa" w:w="2835"/>
            <w:shd w:val="clear" w:color="auto" w:fill="F2F5FA"/>
            <w:vAlign w:val="center"/>
          </w:tcPr>
          <w:p>
            <w:pPr>
              <w:spacing w:after="0"/>
            </w:pPr>
            <w:r>
              <w:rPr>
                <w:rFonts w:ascii="游ゴシック" w:hAnsi="游ゴシック" w:eastAsia="游ゴシック"/>
                <w:b w:val="0"/>
                <w:sz w:val="16"/>
              </w:rPr>
              <w:t>令和8年度の推定、第9期の中間評価の更新</w:t>
            </w:r>
          </w:p>
        </w:tc>
        <w:tc>
          <w:tcPr>
            <w:tcW w:type="dxa" w:w="1474"/>
            <w:shd w:val="clear" w:color="auto" w:fill="F2F5FA"/>
            <w:vAlign w:val="center"/>
          </w:tcPr>
          <w:p>
            <w:pPr>
              <w:spacing w:after="0"/>
            </w:pPr>
            <w:r>
              <w:rPr>
                <w:rFonts w:ascii="游ゴシック" w:hAnsi="游ゴシック" w:eastAsia="游ゴシック"/>
                <w:b w:val="0"/>
                <w:sz w:val="16"/>
              </w:rPr>
              <w:t>発注者</w:t>
            </w:r>
          </w:p>
        </w:tc>
        <w:tc>
          <w:tcPr>
            <w:tcW w:type="dxa" w:w="1020"/>
            <w:shd w:val="clear" w:color="auto" w:fill="F2F5FA"/>
            <w:vAlign w:val="center"/>
          </w:tcPr>
          <w:p>
            <w:pPr>
              <w:spacing w:after="0"/>
              <w:jc w:val="center"/>
            </w:pPr>
            <w:r>
              <w:rPr>
                <w:rFonts w:ascii="游ゴシック" w:hAnsi="游ゴシック" w:eastAsia="游ゴシック"/>
                <w:b w:val="0"/>
                <w:sz w:val="16"/>
              </w:rPr>
              <w:t>R8.8</w:t>
            </w:r>
          </w:p>
        </w:tc>
      </w:tr>
      <w:tr>
        <w:trPr>
          <w:cantSplit/>
        </w:trPr>
        <w:tc>
          <w:tcPr>
            <w:tcW w:type="dxa" w:w="567"/>
            <w:vAlign w:val="center"/>
          </w:tcPr>
          <w:p>
            <w:pPr>
              <w:spacing w:after="0"/>
              <w:jc w:val="center"/>
            </w:pPr>
            <w:r>
              <w:rPr>
                <w:rFonts w:ascii="游ゴシック" w:hAnsi="游ゴシック" w:eastAsia="游ゴシック"/>
                <w:b w:val="0"/>
                <w:sz w:val="16"/>
              </w:rPr>
              <w:t>23</w:t>
            </w:r>
          </w:p>
        </w:tc>
        <w:tc>
          <w:tcPr>
            <w:tcW w:type="dxa" w:w="3628"/>
            <w:vAlign w:val="center"/>
          </w:tcPr>
          <w:p>
            <w:pPr>
              <w:spacing w:after="0"/>
            </w:pPr>
            <w:r>
              <w:rPr>
                <w:rFonts w:ascii="游ゴシック" w:hAnsi="游ゴシック" w:eastAsia="游ゴシック"/>
                <w:b w:val="0"/>
                <w:sz w:val="16"/>
              </w:rPr>
              <w:t>給付実績データ（サービス別の利用者数・利用日数等）（令和5年度〜令和7年度）</w:t>
            </w:r>
          </w:p>
        </w:tc>
        <w:tc>
          <w:tcPr>
            <w:tcW w:type="dxa" w:w="2835"/>
            <w:vAlign w:val="center"/>
          </w:tcPr>
          <w:p>
            <w:pPr>
              <w:spacing w:after="0"/>
            </w:pPr>
            <w:r>
              <w:rPr>
                <w:rFonts w:ascii="游ゴシック" w:hAnsi="游ゴシック" w:eastAsia="游ゴシック"/>
                <w:b w:val="0"/>
                <w:sz w:val="16"/>
              </w:rPr>
              <w:t>第2段階の見込量の精緻化、第3段階の給付費の算定</w:t>
            </w:r>
          </w:p>
        </w:tc>
        <w:tc>
          <w:tcPr>
            <w:tcW w:type="dxa" w:w="1474"/>
            <w:vAlign w:val="center"/>
          </w:tcPr>
          <w:p>
            <w:pPr>
              <w:spacing w:after="0"/>
            </w:pPr>
            <w:r>
              <w:rPr>
                <w:rFonts w:ascii="游ゴシック" w:hAnsi="游ゴシック" w:eastAsia="游ゴシック"/>
                <w:b w:val="0"/>
                <w:sz w:val="16"/>
              </w:rPr>
              <w:t>発注者</w:t>
            </w:r>
          </w:p>
        </w:tc>
        <w:tc>
          <w:tcPr>
            <w:tcW w:type="dxa" w:w="1020"/>
            <w:vAlign w:val="center"/>
          </w:tcPr>
          <w:p>
            <w:pPr>
              <w:spacing w:after="0"/>
              <w:jc w:val="center"/>
            </w:pPr>
            <w:r>
              <w:rPr>
                <w:rFonts w:ascii="游ゴシック" w:hAnsi="游ゴシック" w:eastAsia="游ゴシック"/>
                <w:b w:val="0"/>
                <w:sz w:val="16"/>
              </w:rPr>
              <w:t>R8.8.31</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6"/>
              </w:rPr>
              <w:t>19</w:t>
            </w:r>
          </w:p>
        </w:tc>
        <w:tc>
          <w:tcPr>
            <w:tcW w:type="dxa" w:w="3628"/>
            <w:shd w:val="clear" w:color="auto" w:fill="F2F5FA"/>
            <w:vAlign w:val="center"/>
          </w:tcPr>
          <w:p>
            <w:pPr>
              <w:spacing w:after="0"/>
            </w:pPr>
            <w:r>
              <w:rPr>
                <w:rFonts w:ascii="游ゴシック" w:hAnsi="游ゴシック" w:eastAsia="游ゴシック"/>
                <w:b w:val="0"/>
                <w:sz w:val="16"/>
              </w:rPr>
              <w:t>居住系・施設サービスの種別別受給者数と総合事業の実績</w:t>
            </w:r>
          </w:p>
        </w:tc>
        <w:tc>
          <w:tcPr>
            <w:tcW w:type="dxa" w:w="2835"/>
            <w:shd w:val="clear" w:color="auto" w:fill="F2F5FA"/>
            <w:vAlign w:val="center"/>
          </w:tcPr>
          <w:p>
            <w:pPr>
              <w:spacing w:after="0"/>
            </w:pPr>
            <w:r>
              <w:rPr>
                <w:rFonts w:ascii="游ゴシック" w:hAnsi="游ゴシック" w:eastAsia="游ゴシック"/>
                <w:b w:val="0"/>
                <w:sz w:val="16"/>
              </w:rPr>
              <w:t>サービス種別ごとの見込量の様式</w:t>
            </w:r>
          </w:p>
        </w:tc>
        <w:tc>
          <w:tcPr>
            <w:tcW w:type="dxa" w:w="1474"/>
            <w:shd w:val="clear" w:color="auto" w:fill="F2F5FA"/>
            <w:vAlign w:val="center"/>
          </w:tcPr>
          <w:p>
            <w:pPr>
              <w:spacing w:after="0"/>
            </w:pPr>
            <w:r>
              <w:rPr>
                <w:rFonts w:ascii="游ゴシック" w:hAnsi="游ゴシック" w:eastAsia="游ゴシック"/>
                <w:b w:val="0"/>
                <w:sz w:val="16"/>
              </w:rPr>
              <w:t>発注者</w:t>
            </w:r>
          </w:p>
        </w:tc>
        <w:tc>
          <w:tcPr>
            <w:tcW w:type="dxa" w:w="1020"/>
            <w:shd w:val="clear" w:color="auto" w:fill="F2F5FA"/>
            <w:vAlign w:val="center"/>
          </w:tcPr>
          <w:p>
            <w:pPr>
              <w:spacing w:after="0"/>
              <w:jc w:val="center"/>
            </w:pPr>
            <w:r>
              <w:rPr>
                <w:rFonts w:ascii="游ゴシック" w:hAnsi="游ゴシック" w:eastAsia="游ゴシック"/>
                <w:b w:val="0"/>
                <w:sz w:val="16"/>
              </w:rPr>
              <w:t>R8.10</w:t>
            </w:r>
          </w:p>
        </w:tc>
      </w:tr>
    </w:tbl>
    <w:p>
      <w:pPr>
        <w:spacing w:after="80"/>
      </w:pPr>
      <w:r>
        <w:rPr>
          <w:rFonts w:ascii="游ゴシック" w:hAnsi="游ゴシック" w:eastAsia="游ゴシック"/>
          <w:b w:val="0"/>
          <w:sz w:val="17"/>
        </w:rPr>
        <w:t>資料：業務工程管理表 06_資料提供依頼</w:t>
      </w:r>
    </w:p>
    <w:p>
      <w:pPr>
        <w:keepNext/>
        <w:pageBreakBefore/>
        <w:spacing w:before="0" w:after="120"/>
      </w:pPr>
      <w:r>
        <w:rPr>
          <w:rFonts w:ascii="游ゴシック" w:hAnsi="游ゴシック" w:eastAsia="游ゴシック"/>
          <w:b/>
          <w:color w:val="1F3864"/>
          <w:sz w:val="26"/>
        </w:rPr>
        <w:t>第10節　10月以降の進め方</w:t>
      </w:r>
    </w:p>
    <w:p>
      <w:pPr>
        <w:keepNext/>
        <w:spacing w:before="160" w:after="40"/>
      </w:pPr>
      <w:r>
        <w:rPr>
          <w:rFonts w:ascii="游ゴシック" w:hAnsi="游ゴシック" w:eastAsia="游ゴシック"/>
          <w:b/>
          <w:sz w:val="20"/>
        </w:rPr>
        <w:t>表20　工程</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268"/>
            <w:shd w:val="clear" w:color="auto" w:fill="1F3864"/>
            <w:vAlign w:val="center"/>
          </w:tcPr>
          <w:p>
            <w:pPr>
              <w:keepNext/>
              <w:spacing w:after="0"/>
              <w:jc w:val="center"/>
            </w:pPr>
            <w:r>
              <w:rPr>
                <w:rFonts w:ascii="游ゴシック" w:hAnsi="游ゴシック" w:eastAsia="游ゴシック"/>
                <w:b/>
                <w:color w:val="FFFFFF"/>
                <w:sz w:val="18"/>
              </w:rPr>
              <w:t>時期</w:t>
            </w:r>
          </w:p>
        </w:tc>
        <w:tc>
          <w:tcPr>
            <w:tcW w:type="dxa" w:w="4082"/>
            <w:shd w:val="clear" w:color="auto" w:fill="1F3864"/>
            <w:vAlign w:val="center"/>
          </w:tcPr>
          <w:p>
            <w:pPr>
              <w:keepNext/>
              <w:spacing w:after="0"/>
              <w:jc w:val="center"/>
            </w:pPr>
            <w:r>
              <w:rPr>
                <w:rFonts w:ascii="游ゴシック" w:hAnsi="游ゴシック" w:eastAsia="游ゴシック"/>
                <w:b/>
                <w:color w:val="FFFFFF"/>
                <w:sz w:val="18"/>
              </w:rPr>
              <w:t>内容</w:t>
            </w:r>
          </w:p>
        </w:tc>
        <w:tc>
          <w:tcPr>
            <w:tcW w:type="dxa" w:w="3288"/>
            <w:shd w:val="clear" w:color="auto" w:fill="1F3864"/>
            <w:vAlign w:val="center"/>
          </w:tcPr>
          <w:p>
            <w:pPr>
              <w:keepNext/>
              <w:spacing w:after="0"/>
              <w:jc w:val="center"/>
            </w:pPr>
            <w:r>
              <w:rPr>
                <w:rFonts w:ascii="游ゴシック" w:hAnsi="游ゴシック" w:eastAsia="游ゴシック"/>
                <w:b/>
                <w:color w:val="FFFFFF"/>
                <w:sz w:val="18"/>
              </w:rPr>
              <w:t>成果物</w:t>
            </w:r>
          </w:p>
        </w:tc>
      </w:tr>
      <w:tr>
        <w:trPr>
          <w:cantSplit/>
        </w:trPr>
        <w:tc>
          <w:tcPr>
            <w:tcW w:type="dxa" w:w="2268"/>
            <w:vAlign w:val="center"/>
          </w:tcPr>
          <w:p>
            <w:pPr>
              <w:keepNext/>
              <w:spacing w:after="0"/>
            </w:pPr>
            <w:r>
              <w:rPr>
                <w:rFonts w:ascii="游ゴシック" w:hAnsi="游ゴシック" w:eastAsia="游ゴシック"/>
                <w:b/>
                <w:sz w:val="18"/>
              </w:rPr>
              <w:t>令和8年10月上旬</w:t>
            </w:r>
          </w:p>
        </w:tc>
        <w:tc>
          <w:tcPr>
            <w:tcW w:type="dxa" w:w="4082"/>
            <w:vAlign w:val="center"/>
          </w:tcPr>
          <w:p>
            <w:pPr>
              <w:keepNext/>
              <w:spacing w:after="0"/>
            </w:pPr>
            <w:r>
              <w:rPr>
                <w:rFonts w:ascii="游ゴシック" w:hAnsi="游ゴシック" w:eastAsia="游ゴシック"/>
                <w:b w:val="0"/>
                <w:sz w:val="18"/>
              </w:rPr>
              <w:t>3町合同の意見交換会（本資料）</w:t>
            </w:r>
          </w:p>
        </w:tc>
        <w:tc>
          <w:tcPr>
            <w:tcW w:type="dxa" w:w="3288"/>
            <w:vAlign w:val="center"/>
          </w:tcPr>
          <w:p>
            <w:pPr>
              <w:keepNext/>
              <w:spacing w:after="0"/>
            </w:pPr>
            <w:r>
              <w:rPr>
                <w:rFonts w:ascii="游ゴシック" w:hAnsi="游ゴシック" w:eastAsia="游ゴシック"/>
                <w:b w:val="0"/>
                <w:sz w:val="18"/>
              </w:rPr>
              <w:t>共通25件のご決定</w:t>
            </w:r>
          </w:p>
        </w:tc>
      </w:tr>
      <w:tr>
        <w:trPr>
          <w:cantSplit/>
        </w:trPr>
        <w:tc>
          <w:tcPr>
            <w:tcW w:type="dxa" w:w="2268"/>
            <w:shd w:val="clear" w:color="auto" w:fill="F2F5FA"/>
            <w:vAlign w:val="center"/>
          </w:tcPr>
          <w:p>
            <w:pPr>
              <w:keepNext/>
              <w:spacing w:after="0"/>
            </w:pPr>
            <w:r>
              <w:rPr>
                <w:rFonts w:ascii="游ゴシック" w:hAnsi="游ゴシック" w:eastAsia="游ゴシック"/>
                <w:b/>
                <w:sz w:val="18"/>
              </w:rPr>
              <w:t>令和8年10月中旬から下旬</w:t>
            </w:r>
          </w:p>
        </w:tc>
        <w:tc>
          <w:tcPr>
            <w:tcW w:type="dxa" w:w="4082"/>
            <w:shd w:val="clear" w:color="auto" w:fill="F2F5FA"/>
            <w:vAlign w:val="center"/>
          </w:tcPr>
          <w:p>
            <w:pPr>
              <w:keepNext/>
              <w:spacing w:after="0"/>
            </w:pPr>
            <w:r>
              <w:rPr>
                <w:rFonts w:ascii="游ゴシック" w:hAnsi="游ゴシック" w:eastAsia="游ゴシック"/>
                <w:b w:val="0"/>
                <w:sz w:val="18"/>
              </w:rPr>
              <w:t>町ごとの個別協議</w:t>
            </w:r>
          </w:p>
        </w:tc>
        <w:tc>
          <w:tcPr>
            <w:tcW w:type="dxa" w:w="3288"/>
            <w:shd w:val="clear" w:color="auto" w:fill="F2F5FA"/>
            <w:vAlign w:val="center"/>
          </w:tcPr>
          <w:p>
            <w:pPr>
              <w:keepNext/>
              <w:spacing w:after="0"/>
            </w:pPr>
            <w:r>
              <w:rPr>
                <w:rFonts w:ascii="游ゴシック" w:hAnsi="游ゴシック" w:eastAsia="游ゴシック"/>
                <w:b w:val="0"/>
                <w:sz w:val="18"/>
              </w:rPr>
              <w:t>町ごと11件のご決定</w:t>
            </w:r>
          </w:p>
        </w:tc>
      </w:tr>
      <w:tr>
        <w:trPr>
          <w:cantSplit/>
        </w:trPr>
        <w:tc>
          <w:tcPr>
            <w:tcW w:type="dxa" w:w="2268"/>
            <w:vAlign w:val="center"/>
          </w:tcPr>
          <w:p>
            <w:pPr>
              <w:keepNext/>
              <w:spacing w:after="0"/>
            </w:pPr>
            <w:r>
              <w:rPr>
                <w:rFonts w:ascii="游ゴシック" w:hAnsi="游ゴシック" w:eastAsia="游ゴシック"/>
                <w:b/>
                <w:sz w:val="18"/>
              </w:rPr>
              <w:t>令和8年10月30日</w:t>
            </w:r>
          </w:p>
        </w:tc>
        <w:tc>
          <w:tcPr>
            <w:tcW w:type="dxa" w:w="4082"/>
            <w:vAlign w:val="center"/>
          </w:tcPr>
          <w:p>
            <w:pPr>
              <w:keepNext/>
              <w:spacing w:after="0"/>
            </w:pPr>
            <w:r>
              <w:rPr>
                <w:rFonts w:ascii="游ゴシック" w:hAnsi="游ゴシック" w:eastAsia="游ゴシック"/>
                <w:b w:val="0"/>
                <w:sz w:val="18"/>
              </w:rPr>
              <w:t>サービス見込量 第2次概算</w:t>
            </w:r>
          </w:p>
        </w:tc>
        <w:tc>
          <w:tcPr>
            <w:tcW w:type="dxa" w:w="3288"/>
            <w:vAlign w:val="center"/>
          </w:tcPr>
          <w:p>
            <w:pPr>
              <w:keepNext/>
              <w:spacing w:after="0"/>
            </w:pPr>
            <w:r>
              <w:rPr>
                <w:rFonts w:ascii="游ゴシック" w:hAnsi="游ゴシック" w:eastAsia="游ゴシック"/>
                <w:b w:val="0"/>
                <w:sz w:val="18"/>
              </w:rPr>
              <w:t>見込量・給付費・保険料の第2次概算</w:t>
            </w:r>
          </w:p>
        </w:tc>
      </w:tr>
      <w:tr>
        <w:trPr>
          <w:cantSplit/>
        </w:trPr>
        <w:tc>
          <w:tcPr>
            <w:tcW w:type="dxa" w:w="2268"/>
            <w:shd w:val="clear" w:color="auto" w:fill="F2F5FA"/>
            <w:vAlign w:val="center"/>
          </w:tcPr>
          <w:p>
            <w:pPr>
              <w:keepNext/>
              <w:spacing w:after="0"/>
            </w:pPr>
            <w:r>
              <w:rPr>
                <w:rFonts w:ascii="游ゴシック" w:hAnsi="游ゴシック" w:eastAsia="游ゴシック"/>
                <w:b/>
                <w:sz w:val="18"/>
              </w:rPr>
              <w:t>令和8年11月13日</w:t>
            </w:r>
          </w:p>
        </w:tc>
        <w:tc>
          <w:tcPr>
            <w:tcW w:type="dxa" w:w="4082"/>
            <w:shd w:val="clear" w:color="auto" w:fill="F2F5FA"/>
            <w:vAlign w:val="center"/>
          </w:tcPr>
          <w:p>
            <w:pPr>
              <w:keepNext/>
              <w:spacing w:after="0"/>
            </w:pPr>
            <w:r>
              <w:rPr>
                <w:rFonts w:ascii="游ゴシック" w:hAnsi="游ゴシック" w:eastAsia="游ゴシック"/>
                <w:b w:val="0"/>
                <w:sz w:val="18"/>
              </w:rPr>
              <w:t>予算編成用の資料</w:t>
            </w:r>
          </w:p>
        </w:tc>
        <w:tc>
          <w:tcPr>
            <w:tcW w:type="dxa" w:w="3288"/>
            <w:shd w:val="clear" w:color="auto" w:fill="F2F5FA"/>
            <w:vAlign w:val="center"/>
          </w:tcPr>
          <w:p>
            <w:pPr>
              <w:keepNext/>
              <w:spacing w:after="0"/>
            </w:pPr>
            <w:r>
              <w:rPr>
                <w:rFonts w:ascii="游ゴシック" w:hAnsi="游ゴシック" w:eastAsia="游ゴシック"/>
                <w:b w:val="0"/>
                <w:sz w:val="18"/>
              </w:rPr>
              <w:t>令和9年度予算に用いる給付費</w:t>
            </w:r>
          </w:p>
        </w:tc>
      </w:tr>
      <w:tr>
        <w:trPr>
          <w:cantSplit/>
        </w:trPr>
        <w:tc>
          <w:tcPr>
            <w:tcW w:type="dxa" w:w="2268"/>
            <w:vAlign w:val="center"/>
          </w:tcPr>
          <w:p>
            <w:pPr>
              <w:keepNext/>
              <w:spacing w:after="0"/>
            </w:pPr>
            <w:r>
              <w:rPr>
                <w:rFonts w:ascii="游ゴシック" w:hAnsi="游ゴシック" w:eastAsia="游ゴシック"/>
                <w:b/>
                <w:sz w:val="18"/>
              </w:rPr>
              <w:t>令和8年11月</w:t>
            </w:r>
          </w:p>
        </w:tc>
        <w:tc>
          <w:tcPr>
            <w:tcW w:type="dxa" w:w="4082"/>
            <w:vAlign w:val="center"/>
          </w:tcPr>
          <w:p>
            <w:pPr>
              <w:keepNext/>
              <w:spacing w:after="0"/>
            </w:pPr>
            <w:r>
              <w:rPr>
                <w:rFonts w:ascii="游ゴシック" w:hAnsi="游ゴシック" w:eastAsia="游ゴシック"/>
                <w:b w:val="0"/>
                <w:sz w:val="18"/>
              </w:rPr>
              <w:t>構成町意見の反映、第10期計画骨子の整理</w:t>
            </w:r>
          </w:p>
        </w:tc>
        <w:tc>
          <w:tcPr>
            <w:tcW w:type="dxa" w:w="3288"/>
            <w:vAlign w:val="center"/>
          </w:tcPr>
          <w:p>
            <w:pPr>
              <w:keepNext/>
              <w:spacing w:after="0"/>
            </w:pPr>
            <w:r>
              <w:rPr>
                <w:rFonts w:ascii="游ゴシック" w:hAnsi="游ゴシック" w:eastAsia="游ゴシック"/>
                <w:b w:val="0"/>
                <w:sz w:val="18"/>
              </w:rPr>
              <w:t>計画骨子</w:t>
            </w:r>
          </w:p>
        </w:tc>
      </w:tr>
      <w:tr>
        <w:trPr>
          <w:cantSplit/>
        </w:trPr>
        <w:tc>
          <w:tcPr>
            <w:tcW w:type="dxa" w:w="2268"/>
            <w:shd w:val="clear" w:color="auto" w:fill="F2F5FA"/>
            <w:vAlign w:val="center"/>
          </w:tcPr>
          <w:p>
            <w:pPr>
              <w:spacing w:after="0"/>
            </w:pPr>
            <w:r>
              <w:rPr>
                <w:rFonts w:ascii="游ゴシック" w:hAnsi="游ゴシック" w:eastAsia="游ゴシック"/>
                <w:b/>
                <w:sz w:val="18"/>
              </w:rPr>
              <w:t>令和9年1月以降</w:t>
            </w:r>
          </w:p>
        </w:tc>
        <w:tc>
          <w:tcPr>
            <w:tcW w:type="dxa" w:w="4082"/>
            <w:shd w:val="clear" w:color="auto" w:fill="F2F5FA"/>
            <w:vAlign w:val="center"/>
          </w:tcPr>
          <w:p>
            <w:pPr>
              <w:spacing w:after="0"/>
            </w:pPr>
            <w:r>
              <w:rPr>
                <w:rFonts w:ascii="游ゴシック" w:hAnsi="游ゴシック" w:eastAsia="游ゴシック"/>
                <w:b w:val="0"/>
                <w:sz w:val="18"/>
              </w:rPr>
              <w:t>意見公募手続、北海道の意見の聴取</w:t>
            </w:r>
          </w:p>
        </w:tc>
        <w:tc>
          <w:tcPr>
            <w:tcW w:type="dxa" w:w="3288"/>
            <w:shd w:val="clear" w:color="auto" w:fill="F2F5FA"/>
            <w:vAlign w:val="center"/>
          </w:tcPr>
          <w:p>
            <w:pPr>
              <w:spacing w:after="0"/>
            </w:pPr>
            <w:r>
              <w:rPr>
                <w:rFonts w:ascii="游ゴシック" w:hAnsi="游ゴシック" w:eastAsia="游ゴシック"/>
                <w:b w:val="0"/>
                <w:sz w:val="18"/>
              </w:rPr>
              <w:t>計画案</w:t>
            </w:r>
          </w:p>
        </w:tc>
      </w:tr>
    </w:tbl>
    <w:p>
      <w:pPr>
        <w:ind w:left="227"/>
      </w:pPr>
      <w:r>
        <w:rPr>
          <w:rFonts w:ascii="游ゴシック" w:hAnsi="游ゴシック" w:eastAsia="游ゴシック"/>
          <w:b w:val="0"/>
          <w:sz w:val="18"/>
        </w:rPr>
        <w:t>※ 介護保険法第117条は、計画を定め又は変更しようとするときに、あらかじめ被保険者の意見を反映させるために必要な措置を講ずること及び都道府県の意見を聴くことを定めています。意見公募手続の時期と方法のご決定をお願いします。</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0"/>
        </w:rPr>
        <w:t>第2次概算（令和8年10月30日）は、ご決定がない場合も第6節の仮置きにより組みます。その場合は、仮置きによったことを第2次概算の資料に明示します。</w:t>
      </w:r>
    </w:p>
    <w:sectPr w:rsidR="00FC693F" w:rsidRPr="0006063C" w:rsidSect="00034616">
      <w:pgSz w:w="11906" w:h="16838"/>
      <w:pgMar w:top="1020" w:right="1077" w:bottom="1020"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