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本報告の前提と限界</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第12章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中間段階の検討結果を取りまとめたものである。業務仕様書の要約に基づき、次の3点に対応する構成としている。</w:t>
      </w:r>
    </w:p>
    <w:p>
      <w:pPr>
        <w:pStyle w:val="ListBullet"/>
        <w:spacing w:after="60" w:line="269" w:lineRule="auto"/>
      </w:pPr>
      <w:r>
        <w:rPr>
          <w:rFonts w:ascii="ＭＳ 明朝" w:hAnsi="ＭＳ 明朝" w:eastAsia="ＭＳ 明朝"/>
          <w:sz w:val="21"/>
        </w:rPr>
        <w:t>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20" w:line="276" w:lineRule="auto"/>
      </w:pPr>
      <w:r>
        <w:rPr>
          <w:rFonts w:ascii="ＭＳ 明朝" w:hAnsi="ＭＳ 明朝" w:eastAsia="ＭＳ 明朝"/>
          <w:b w:val="0"/>
          <w:sz w:val="21"/>
        </w:rPr>
        <w:t>本報告書は、第4章で資産維持費3％を算入した総括原価を算定し、第6章から第8章で3つのパターンを試算し、第11章に住民・議会説明用の要約を置いている。</w:t>
      </w:r>
    </w:p>
    <w:p>
      <w:pPr>
        <w:spacing w:after="160" w:line="276" w:lineRule="auto"/>
      </w:pPr>
      <w:r>
        <w:rPr>
          <w:rFonts w:ascii="ＭＳ 明朝" w:hAnsi="ＭＳ 明朝" w:eastAsia="ＭＳ 明朝"/>
          <w:b w:val="0"/>
          <w:color w:val="C00000"/>
          <w:sz w:val="21"/>
        </w:rPr>
        <w:t>なお、本報告の作成時点で照合できた仕様書関係資料は要約であり、仕様書原本との照合は行っていない。3パターンの体裁が要求に対応していることは確認できるが、履行要件を満たすとの最終判定は、仕様書原本の確認をもって行う。</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w:t>
      </w:r>
    </w:p>
    <w:p>
      <w:pPr>
        <w:spacing w:after="120" w:line="276" w:lineRule="auto"/>
      </w:pPr>
      <w:r>
        <w:rPr>
          <w:rFonts w:ascii="ＭＳ 明朝" w:hAnsi="ＭＳ 明朝" w:eastAsia="ＭＳ 明朝"/>
          <w:b w:val="0"/>
          <w:sz w:val="21"/>
        </w:rPr>
        <w:t>本報告は中間段階の取りまとめである。掲載した改定率および料金水準は、第5章に示す前提条件の下で総括原価を料金で回収する場合の試算値であり、改定率を確定させたものではない。前提条件の確認・確定を経て最終報告で更新する。</w:t>
      </w:r>
    </w:p>
    <w:p>
      <w:pPr>
        <w:spacing w:after="120" w:line="276" w:lineRule="auto"/>
      </w:pPr>
      <w:r>
        <w:rPr>
          <w:rFonts w:ascii="ＭＳ 明朝" w:hAnsi="ＭＳ 明朝" w:eastAsia="ＭＳ 明朝"/>
          <w:b w:val="0"/>
          <w:color w:val="C00000"/>
          <w:sz w:val="21"/>
        </w:rPr>
        <w:t>本報告の数値を引用する際は、必ず第5章の前提条件と併せて用いること。</w:t>
      </w:r>
    </w:p>
    <w:p>
      <w:pPr>
        <w:spacing w:after="120" w:line="276" w:lineRule="auto"/>
      </w:pPr>
      <w:r>
        <w:rPr>
          <w:rFonts w:ascii="ＭＳ 明朝" w:hAnsi="ＭＳ 明朝" w:eastAsia="ＭＳ 明朝"/>
          <w:b w:val="0"/>
          <w:sz w:val="21"/>
        </w:rPr>
        <w:t>確定を要する主な事項は次のとおりである。</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一般会計繰入金の繰出基準に基づく区分（基準内・基準外）と算定根拠</w:t>
      </w:r>
    </w:p>
    <w:p>
      <w:pPr>
        <w:pStyle w:val="ListBullet"/>
        <w:spacing w:after="60" w:line="269" w:lineRule="auto"/>
      </w:pPr>
      <w:r>
        <w:rPr>
          <w:rFonts w:ascii="ＭＳ 明朝" w:hAnsi="ＭＳ 明朝" w:eastAsia="ＭＳ 明朝"/>
          <w:sz w:val="21"/>
        </w:rPr>
        <w:t>水産加工業者を含む使用者別・月別の実使用水量および口径の明細</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県内他団体の多くは口径別基本料金と段階逓増の従量料金を組み合わせており、用途別と口径別を併用する女川町の体系は、県内では例が少ない。</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100㎥を境とする逓減</w:t>
            </w:r>
          </w:p>
        </w:tc>
        <w:tc>
          <w:tcPr>
            <w:tcW w:type="dxa" w:w="3969"/>
          </w:tcPr>
          <w:p>
            <w:pPr>
              <w:spacing w:after="40"/>
              <w:jc w:val="center"/>
            </w:pPr>
            <w:r/>
            <w:r>
              <w:rPr>
                <w:rFonts w:ascii="ＭＳ 明朝" w:hAnsi="ＭＳ 明朝" w:eastAsia="ＭＳ 明朝"/>
                <w:b w:val="0"/>
                <w:sz w:val="18"/>
              </w:rPr>
              <w:t>一般用は100㎥超で121円から110円へ単価が下がる</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200" w:line="276" w:lineRule="auto"/>
      </w:pPr>
      <w:r>
        <w:rPr>
          <w:rFonts w:ascii="ＭＳ 明朝" w:hAnsi="ＭＳ 明朝" w:eastAsia="ＭＳ 明朝"/>
          <w:b w:val="0"/>
          <w:color w:val="595959"/>
          <w:sz w:val="17"/>
        </w:rPr>
        <w:t>※ 逓減の設定は県内で女川町のみではない。気仙沼市も1,000㎥を超える区分で単価が下がる（25〜40mm 287円→260円、50〜100mm 323円→292円）。女川町の特徴は、逓減の開始点が100㎥と低く、一般家庭に近い水量帯から適用される点にある。</w:t>
      </w: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牡鹿半島の中央から基部に位置し、町域の大部分が林野で平地は僅少</w:t>
      </w:r>
    </w:p>
    <w:p>
      <w:pPr>
        <w:pStyle w:val="ListBullet"/>
        <w:spacing w:after="60" w:line="269" w:lineRule="auto"/>
      </w:pPr>
      <w:r>
        <w:rPr>
          <w:rFonts w:ascii="ＭＳ 明朝" w:hAnsi="ＭＳ 明朝" w:eastAsia="ＭＳ 明朝"/>
          <w:sz w:val="21"/>
        </w:rPr>
        <w:t>リアス式海岸により配水区域が半島部と島しょ部に分散し、管路延長あたりの給水人口が低い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江島は海底送水管による給水であり、本復旧事業が令和8年度以降の建設改良費に計上されている</w:t>
      </w:r>
    </w:p>
    <w:p>
      <w:pPr>
        <w:pStyle w:val="ListBullet"/>
        <w:spacing w:after="60" w:line="269" w:lineRule="auto"/>
      </w:pPr>
      <w:r>
        <w:rPr>
          <w:rFonts w:ascii="ＭＳ 明朝" w:hAnsi="ＭＳ 明朝" w:eastAsia="ＭＳ 明朝"/>
          <w:sz w:val="21"/>
        </w:rPr>
        <w:t>出島は令和6年12月19日の出島大橋開通により陸路が確保された。橋梁経由の送水への切替が計画されており、切替の完了時期と切替後の維持管理費は町に確認のうえ更新する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経営戦略の財政シミュレーションの給水人口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関連施設・作業員宿泊にかかる一般用需要が安定財源となっている。発電所本体の用水調達の状況は、上水道の大口需要の有無を含め町に確認のうえ記載する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の設定および船舶用区分は、こうした産業構造を反映したものと考えられる。したがって体系の見直しは、単なる料金水準の調整ではなく、産業政策としての側面を持つ。なお、この位置づけは体系の内容からの推測であり、制定経緯の記録による裏付けは行っ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主要指標の状況（決算ベース）</w:t>
      </w:r>
    </w:p>
    <w:p>
      <w:pPr>
        <w:spacing w:after="120" w:line="276" w:lineRule="auto"/>
      </w:pPr>
      <w:r>
        <w:rPr>
          <w:rFonts w:ascii="ＭＳ 明朝" w:hAnsi="ＭＳ 明朝" w:eastAsia="ＭＳ 明朝"/>
          <w:b w:val="0"/>
          <w:sz w:val="21"/>
        </w:rPr>
        <w:t>本節の指標は、経営比較分析表の算式による決算ベースの数値である。第4章以降で用いる「総括原価回収割合」とは分母の定義が異なるため、混同しないよう注意を要する。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料金回収率（決算）</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約633%</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および財政シミュレーションの対応額から再計算。料金回収率は給水収益120,553千円÷（総費用564,429千円−長期前受金戻入336,409千円）による。今後の決算修正があれば更新を要す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令和5年度の料金回収率は約53％であり、給水に要する費用の約半分しか料金で回収できていない。不足分は一般会計からの繰入金等で補填されている。経営戦略（案）も「国が定める繰出基準以外の繰出金によって収入不足を補填している状況」と記載してい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税込）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（3）逓減の設定による大口使用者への偏り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20" w:line="276" w:lineRule="auto"/>
      </w:pPr>
      <w:r>
        <w:rPr>
          <w:rFonts w:ascii="ＭＳ 明朝" w:hAnsi="ＭＳ 明朝" w:eastAsia="ＭＳ 明朝"/>
          <w:b w:val="0"/>
          <w:sz w:val="21"/>
        </w:rPr>
        <w:t>経営戦略の水需要予測では、有収水量は令和8年度の901千㎥から令和12年度には818千㎥へ、5年間で約9％減少する見込みである。料金水準を据え置けば収入は毎年減り続ける。</w:t>
      </w:r>
    </w:p>
    <w:p>
      <w:pPr>
        <w:spacing w:after="160" w:line="276" w:lineRule="auto"/>
      </w:pPr>
      <w:r>
        <w:rPr>
          <w:rFonts w:ascii="ＭＳ 明朝" w:hAnsi="ＭＳ 明朝" w:eastAsia="ＭＳ 明朝"/>
          <w:b w:val="0"/>
          <w:color w:val="C00000"/>
          <w:sz w:val="21"/>
        </w:rPr>
        <w:t>ただし、令和7年度の調定水量実績1,024,576㎥から令和8年度推計901千㎥への約12％の段差については、経営戦略に説明がない。また同予測は給水人口に平均原単位を乗じる構造であり、水産加工業・船舶等の大口需要を区分した予測にはなっていない。最終報告では、令和7年度実績から接続する形で、家庭需要・大口需要・特殊用途を区分した予測に組み替え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長期収支試算を行ったうえで水道法施行規則第12条第2号の枠組み（3〜5年）により5年を採用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日本水道協会「水道料金算定要領」の標準値。各事業者の状況に応じて決定するものとされている</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896,312千円（期首期末平均・推計）</w:t>
            </w:r>
          </w:p>
        </w:tc>
        <w:tc>
          <w:tcPr>
            <w:tcW w:type="dxa" w:w="4932"/>
          </w:tcPr>
          <w:p>
            <w:pPr>
              <w:spacing w:after="40"/>
              <w:jc w:val="center"/>
            </w:pPr>
            <w:r/>
            <w:r>
              <w:rPr>
                <w:rFonts w:ascii="ＭＳ 明朝" w:hAnsi="ＭＳ 明朝" w:eastAsia="ＭＳ 明朝"/>
                <w:b w:val="0"/>
                <w:sz w:val="19"/>
              </w:rPr>
              <w:t>算定要領の方式による。対象資産は未確定（5-4参照）</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590,845千円（税抜）</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経営戦略の設定。機械・電気設備の区分は未確定</w:t>
            </w:r>
          </w:p>
        </w:tc>
      </w:tr>
      <w:tr>
        <w:tc>
          <w:tcPr>
            <w:tcW w:type="dxa" w:w="2268"/>
          </w:tcPr>
          <w:p>
            <w:pPr>
              <w:spacing w:after="40"/>
              <w:jc w:val="left"/>
            </w:pPr>
            <w:r/>
            <w:r>
              <w:rPr>
                <w:rFonts w:ascii="ＭＳ 明朝" w:hAnsi="ＭＳ 明朝" w:eastAsia="ＭＳ 明朝"/>
                <w:b w:val="0"/>
                <w:sz w:val="19"/>
              </w:rPr>
              <w:t>税区分</w:t>
            </w:r>
          </w:p>
        </w:tc>
        <w:tc>
          <w:tcPr>
            <w:tcW w:type="dxa" w:w="2154"/>
          </w:tcPr>
          <w:p>
            <w:pPr>
              <w:spacing w:after="40"/>
              <w:jc w:val="center"/>
            </w:pPr>
            <w:r/>
            <w:r>
              <w:rPr>
                <w:rFonts w:ascii="ＭＳ 明朝" w:hAnsi="ＭＳ 明朝" w:eastAsia="ＭＳ 明朝"/>
                <w:b w:val="0"/>
                <w:sz w:val="19"/>
              </w:rPr>
              <w:t>収益的収支・総括原価は税抜</w:t>
            </w:r>
          </w:p>
        </w:tc>
        <w:tc>
          <w:tcPr>
            <w:tcW w:type="dxa" w:w="4932"/>
          </w:tcPr>
          <w:p>
            <w:pPr>
              <w:spacing w:after="40"/>
              <w:jc w:val="center"/>
            </w:pPr>
            <w:r/>
            <w:r>
              <w:rPr>
                <w:rFonts w:ascii="ＭＳ 明朝" w:hAnsi="ＭＳ 明朝" w:eastAsia="ＭＳ 明朝"/>
                <w:b w:val="0"/>
                <w:sz w:val="19"/>
              </w:rPr>
              <w:t>経営戦略の財政シミュレーションの区分に合わせる</w:t>
            </w:r>
          </w:p>
        </w:tc>
      </w:tr>
    </w:tbl>
    <w:p>
      <w:pPr>
        <w:spacing w:after="200" w:line="276" w:lineRule="auto"/>
      </w:pPr>
      <w:r>
        <w:rPr>
          <w:rFonts w:ascii="ＭＳ 明朝" w:hAnsi="ＭＳ 明朝" w:eastAsia="ＭＳ 明朝"/>
          <w:b w:val="0"/>
          <w:color w:val="595959"/>
          <w:sz w:val="17"/>
        </w:rPr>
        <w:t>※ 算定期間の根拠は、長期収支試算を行った場合の規定によっている。長期収支試算を行わない場合は同条第4号の規定によることとなり、根拠条項が異なる。</w:t>
      </w: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2,002,979</w:t>
            </w:r>
          </w:p>
        </w:tc>
        <w:tc>
          <w:tcPr>
            <w:tcW w:type="dxa" w:w="4592"/>
          </w:tcPr>
          <w:p>
            <w:pPr>
              <w:spacing w:after="40"/>
              <w:jc w:val="center"/>
            </w:pPr>
            <w:r/>
            <w:r>
              <w:rPr>
                <w:rFonts w:ascii="ＭＳ 明朝" w:hAnsi="ＭＳ 明朝" w:eastAsia="ＭＳ 明朝"/>
                <w:b w:val="0"/>
                <w:sz w:val="19"/>
              </w:rPr>
              <w:t>既存資産1,855,337＋建設改良費調査票に基づく新規分147,642</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1,175,810</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Ⅱの既存資産分1,855,337千円は、経営戦略の財政シミュレーションが計上する令和6年度末取得資産の償却費1,822,881千円と令和7年度取得資産の償却費32,456千円の合計である。Ⅶの控除の位置づけは5-3、Ⅴの対象資産は5-4、Ⅱの残課題は5-5を参照。</w:t>
      </w:r>
    </w:p>
    <w:p>
      <w:pPr>
        <w:spacing w:before="240" w:after="100"/>
      </w:pPr>
      <w:r>
        <w:rPr>
          <w:rFonts w:ascii="ＭＳ ゴシック" w:hAnsi="ＭＳ ゴシック" w:eastAsia="ＭＳ ゴシック"/>
          <w:b/>
          <w:color w:val="2E75B6"/>
          <w:sz w:val="23"/>
        </w:rPr>
        <w:t>4-3　給水原価と総括原価回収割合</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272.4円/㎥</w:t>
            </w:r>
          </w:p>
        </w:tc>
        <w:tc>
          <w:tcPr>
            <w:tcW w:type="dxa" w:w="4932"/>
          </w:tcPr>
          <w:p>
            <w:pPr>
              <w:spacing w:after="40"/>
              <w:jc w:val="center"/>
            </w:pPr>
            <w:r/>
            <w:r>
              <w:rPr>
                <w:rFonts w:ascii="ＭＳ 明朝" w:hAnsi="ＭＳ 明朝" w:eastAsia="ＭＳ 明朝"/>
                <w:b w:val="0"/>
                <w:sz w:val="19"/>
              </w:rPr>
              <w:t>総括原価1,175,810千円×1,000÷有収水量4,316,000㎥</w:t>
            </w:r>
          </w:p>
        </w:tc>
      </w:tr>
      <w:tr>
        <w:tc>
          <w:tcPr>
            <w:tcW w:type="dxa" w:w="2608"/>
          </w:tcPr>
          <w:p>
            <w:pPr>
              <w:spacing w:after="40"/>
              <w:jc w:val="left"/>
            </w:pPr>
            <w:r/>
            <w:r>
              <w:rPr>
                <w:rFonts w:ascii="ＭＳ 明朝" w:hAnsi="ＭＳ 明朝" w:eastAsia="ＭＳ 明朝"/>
                <w:b w:val="0"/>
                <w:sz w:val="19"/>
              </w:rPr>
              <w:t>供給単価（令和8〜12年度・税抜）</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総括原価回収割合</w:t>
            </w:r>
          </w:p>
        </w:tc>
        <w:tc>
          <w:tcPr>
            <w:tcW w:type="dxa" w:w="1814"/>
          </w:tcPr>
          <w:p>
            <w:pPr>
              <w:spacing w:after="40"/>
              <w:jc w:val="center"/>
            </w:pPr>
            <w:r/>
            <w:r>
              <w:rPr>
                <w:rFonts w:ascii="ＭＳ 明朝" w:hAnsi="ＭＳ 明朝" w:eastAsia="ＭＳ 明朝"/>
                <w:b/>
                <w:sz w:val="19"/>
              </w:rPr>
              <w:t>50.3％</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116,993千円/年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必要改定率（試算値）</w:t>
            </w:r>
          </w:p>
        </w:tc>
        <w:tc>
          <w:tcPr>
            <w:tcW w:type="dxa" w:w="1814"/>
          </w:tcPr>
          <w:p>
            <w:pPr>
              <w:spacing w:after="40"/>
              <w:jc w:val="center"/>
            </w:pPr>
            <w:r/>
            <w:r>
              <w:rPr>
                <w:rFonts w:ascii="ＭＳ 明朝" w:hAnsi="ＭＳ 明朝" w:eastAsia="ＭＳ 明朝"/>
                <w:b/>
                <w:sz w:val="19"/>
              </w:rPr>
              <w:t>1.99倍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本表の回収割合は、資産維持費を加算し基準内繰入金を控除した本報告独自の総括原価に対する割合であり、3-1の決算ベースの料金回収率（令和5年度52.87％）とは分母の定義が異なる。</w:t>
      </w:r>
    </w:p>
    <w:p>
      <w:pPr>
        <w:spacing w:after="120" w:line="276" w:lineRule="auto"/>
      </w:pPr>
      <w:r>
        <w:rPr>
          <w:rFonts w:ascii="ＭＳ 明朝" w:hAnsi="ＭＳ 明朝" w:eastAsia="ＭＳ 明朝"/>
          <w:b w:val="0"/>
          <w:color w:val="C00000"/>
          <w:sz w:val="21"/>
        </w:rPr>
        <w:t>現行料金のままでは、本報告の前提の下で給水に要する費用の約50％しか回収できない。総括原価を料金で全額回収するには、現行料金の1.99倍の水準が必要となる。</w:t>
      </w:r>
    </w:p>
    <w:p>
      <w:pPr>
        <w:spacing w:after="120" w:line="276" w:lineRule="auto"/>
      </w:pPr>
      <w:r>
        <w:rPr>
          <w:rFonts w:ascii="ＭＳ 明朝" w:hAnsi="ＭＳ 明朝" w:eastAsia="ＭＳ 明朝"/>
          <w:b w:val="0"/>
          <w:color w:val="C00000"/>
          <w:sz w:val="21"/>
        </w:rPr>
        <w:t>ただし1.99倍は、他会計補助金272,997千円の全額を基準内繰入金として控除できる場合の値である。この控除の根拠は町の資料で確認できておらず（5-3参照）、控除しない場合は2.45倍となる。本報告の1.99倍は確定した改定水準ではなく、前提条件つきの試算値として扱う。</w:t>
      </w:r>
    </w:p>
    <w:p>
      <w:pPr>
        <w:spacing w:before="180" w:after="80"/>
      </w:pPr>
      <w:r>
        <w:rPr>
          <w:rFonts w:ascii="ＭＳ ゴシック" w:hAnsi="ＭＳ ゴシック" w:eastAsia="ＭＳ ゴシック"/>
          <w:b/>
          <w:color w:val="C55A11"/>
          <w:sz w:val="21"/>
        </w:rPr>
        <w:t>（参考）繰入金の控除条件による幅</w:t>
      </w:r>
    </w:p>
    <w:p>
      <w:pPr>
        <w:spacing w:after="120" w:line="276" w:lineRule="auto"/>
      </w:pPr>
      <w:r>
        <w:rPr>
          <w:rFonts w:ascii="ＭＳ 明朝" w:hAnsi="ＭＳ 明朝" w:eastAsia="ＭＳ 明朝"/>
          <w:b w:val="0"/>
          <w:sz w:val="21"/>
        </w:rPr>
        <w:t>基準内繰入金を控除するかどうかによって、必要改定率は次のように変わる。本報告は、繰出基準に基づき一般会計が負担すべき額として他会計補助金を控除する前提を採っている。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1,175,810千円</w:t>
            </w:r>
          </w:p>
        </w:tc>
        <w:tc>
          <w:tcPr>
            <w:tcW w:type="dxa" w:w="1701"/>
          </w:tcPr>
          <w:p>
            <w:pPr>
              <w:spacing w:after="40"/>
              <w:jc w:val="center"/>
            </w:pPr>
            <w:r/>
            <w:r>
              <w:rPr>
                <w:rFonts w:ascii="ＭＳ 明朝" w:hAnsi="ＭＳ 明朝" w:eastAsia="ＭＳ 明朝"/>
                <w:b/>
                <w:sz w:val="19"/>
              </w:rPr>
              <w:t>272.4円/㎥</w:t>
            </w:r>
          </w:p>
        </w:tc>
        <w:tc>
          <w:tcPr>
            <w:tcW w:type="dxa" w:w="2098"/>
          </w:tcPr>
          <w:p>
            <w:pPr>
              <w:spacing w:after="40"/>
              <w:jc w:val="center"/>
            </w:pPr>
            <w:r/>
            <w:r>
              <w:rPr>
                <w:rFonts w:ascii="ＭＳ 明朝" w:hAnsi="ＭＳ 明朝" w:eastAsia="ＭＳ 明朝"/>
                <w:b/>
                <w:sz w:val="19"/>
              </w:rPr>
              <w:t>1.99倍</w:t>
            </w:r>
          </w:p>
        </w:tc>
      </w:tr>
      <w:tr>
        <w:tc>
          <w:tcPr>
            <w:tcW w:type="dxa" w:w="3628"/>
          </w:tcPr>
          <w:p>
            <w:pPr>
              <w:spacing w:after="40"/>
              <w:jc w:val="left"/>
            </w:pPr>
            <w:r/>
            <w:r>
              <w:rPr>
                <w:rFonts w:ascii="ＭＳ 明朝" w:hAnsi="ＭＳ 明朝" w:eastAsia="ＭＳ 明朝"/>
                <w:b w:val="0"/>
                <w:sz w:val="19"/>
              </w:rPr>
              <w:t>繰入金を控除しない</w:t>
            </w:r>
          </w:p>
        </w:tc>
        <w:tc>
          <w:tcPr>
            <w:tcW w:type="dxa" w:w="1928"/>
          </w:tcPr>
          <w:p>
            <w:pPr>
              <w:spacing w:after="40"/>
              <w:jc w:val="center"/>
            </w:pPr>
            <w:r/>
            <w:r>
              <w:rPr>
                <w:rFonts w:ascii="ＭＳ 明朝" w:hAnsi="ＭＳ 明朝" w:eastAsia="ＭＳ 明朝"/>
                <w:b w:val="0"/>
                <w:sz w:val="19"/>
              </w:rPr>
              <w:t>1,448,807千円</w:t>
            </w:r>
          </w:p>
        </w:tc>
        <w:tc>
          <w:tcPr>
            <w:tcW w:type="dxa" w:w="1701"/>
          </w:tcPr>
          <w:p>
            <w:pPr>
              <w:spacing w:after="40"/>
              <w:jc w:val="center"/>
            </w:pPr>
            <w:r/>
            <w:r>
              <w:rPr>
                <w:rFonts w:ascii="ＭＳ 明朝" w:hAnsi="ＭＳ 明朝" w:eastAsia="ＭＳ 明朝"/>
                <w:b w:val="0"/>
                <w:sz w:val="19"/>
              </w:rPr>
              <w:t>335.7円/㎥</w:t>
            </w:r>
          </w:p>
        </w:tc>
        <w:tc>
          <w:tcPr>
            <w:tcW w:type="dxa" w:w="2098"/>
          </w:tcPr>
          <w:p>
            <w:pPr>
              <w:spacing w:after="40"/>
              <w:jc w:val="center"/>
            </w:pPr>
            <w:r/>
            <w:r>
              <w:rPr>
                <w:rFonts w:ascii="ＭＳ 明朝" w:hAnsi="ＭＳ 明朝" w:eastAsia="ＭＳ 明朝"/>
                <w:b w:val="0"/>
                <w:sz w:val="19"/>
              </w:rPr>
              <w:t>2.45倍</w:t>
            </w:r>
          </w:p>
        </w:tc>
      </w:tr>
    </w:tbl>
    <w:p>
      <w:pPr>
        <w:spacing w:after="200" w:line="276" w:lineRule="auto"/>
      </w:pPr>
      <w:r>
        <w:rPr>
          <w:rFonts w:ascii="ＭＳ 明朝" w:hAnsi="ＭＳ 明朝" w:eastAsia="ＭＳ 明朝"/>
          <w:b w:val="0"/>
          <w:color w:val="595959"/>
          <w:sz w:val="17"/>
        </w:rPr>
        <w:t>※ 1.99〜2.45倍は、他の条件を固定し繰入金の控除条件のみを変えた場合の比較値である。償却年数・借入利率・対象資産・水量などの条件を併せて変えると2.5倍を超える場合もあり、この幅は必要改定率の上限・下限を示すものではない。感応度は5-9に示す。</w:t>
      </w:r>
    </w:p>
    <w:p>
      <w:pPr>
        <w:spacing w:after="160" w:line="276" w:lineRule="auto"/>
      </w:pPr>
      <w:r>
        <w:rPr>
          <w:rFonts w:ascii="ＭＳ 明朝" w:hAnsi="ＭＳ 明朝" w:eastAsia="ＭＳ 明朝"/>
          <w:b w:val="0"/>
          <w:sz w:val="21"/>
        </w:rPr>
        <w:t>なお1.99倍も一度に実施できる水準ではない。第6章以降では、この必要水準を前提に、体系の維持・段階改定・体系変更という3つの方向で試算する。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本報告の前提と限界</w:t>
      </w:r>
    </w:p>
    <w:p>
      <w:pPr>
        <w:spacing w:after="160" w:line="276" w:lineRule="auto"/>
      </w:pPr>
      <w:r>
        <w:rPr>
          <w:rFonts w:ascii="ＭＳ 明朝" w:hAnsi="ＭＳ 明朝" w:eastAsia="ＭＳ 明朝"/>
          <w:b w:val="0"/>
          <w:color w:val="595959"/>
          <w:sz w:val="21"/>
        </w:rPr>
        <w:t>本章は、本報告の数値がどの前提の下で成り立つか、どこまで確認できているかを明示するものである。第6章以降の試算値は、いずれも本章の条件付きの数値である。</w:t>
      </w:r>
    </w:p>
    <w:p>
      <w:pPr>
        <w:spacing w:before="240" w:after="100"/>
      </w:pPr>
      <w:r>
        <w:rPr>
          <w:rFonts w:ascii="ＭＳ ゴシック" w:hAnsi="ＭＳ ゴシック" w:eastAsia="ＭＳ ゴシック"/>
          <w:b/>
          <w:color w:val="2E75B6"/>
          <w:sz w:val="23"/>
        </w:rPr>
        <w:t>5-1　数値の確定状況</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区分</w:t>
            </w:r>
          </w:p>
        </w:tc>
        <w:tc>
          <w:tcPr>
            <w:tcW w:type="dxa" w:w="6973"/>
            <w:shd w:val="clear" w:fill="2E75B6"/>
          </w:tcPr>
          <w:p>
            <w:pPr>
              <w:spacing w:after="40"/>
              <w:jc w:val="center"/>
            </w:pPr>
            <w:r/>
            <w:r>
              <w:rPr>
                <w:rFonts w:ascii="ＭＳ ゴシック" w:hAnsi="ＭＳ ゴシック" w:eastAsia="ＭＳ ゴシック"/>
                <w:b/>
                <w:color w:val="FFFFFF"/>
                <w:sz w:val="19"/>
              </w:rPr>
              <w:t>項目</w:t>
            </w:r>
          </w:p>
        </w:tc>
      </w:tr>
      <w:tr>
        <w:tc>
          <w:tcPr>
            <w:tcW w:type="dxa" w:w="2381"/>
          </w:tcPr>
          <w:p>
            <w:pPr>
              <w:spacing w:after="40"/>
              <w:jc w:val="left"/>
            </w:pPr>
            <w:r/>
            <w:r>
              <w:rPr>
                <w:rFonts w:ascii="ＭＳ 明朝" w:hAnsi="ＭＳ 明朝" w:eastAsia="ＭＳ 明朝"/>
                <w:b w:val="0"/>
                <w:sz w:val="19"/>
              </w:rPr>
              <w:t>確定値（原票と照合済）</w:t>
            </w:r>
          </w:p>
        </w:tc>
        <w:tc>
          <w:tcPr>
            <w:tcW w:type="dxa" w:w="6973"/>
          </w:tcPr>
          <w:p>
            <w:pPr>
              <w:spacing w:after="40"/>
              <w:jc w:val="center"/>
            </w:pPr>
            <w:r/>
            <w:r>
              <w:rPr>
                <w:rFonts w:ascii="ＭＳ 明朝" w:hAnsi="ＭＳ 明朝" w:eastAsia="ＭＳ 明朝"/>
                <w:b w:val="0"/>
                <w:sz w:val="19"/>
              </w:rPr>
              <w:t>現行料金表（町公式料金表と一致）、標準家庭20mm・20㎥の現行料金2,497円、令和7年度の調定水量1,024,576㎥および調定額131,428,825円（税込）、建設改良費4事業の総整備費3,515,000千円（税込）</w:t>
            </w:r>
          </w:p>
        </w:tc>
      </w:tr>
      <w:tr>
        <w:tc>
          <w:tcPr>
            <w:tcW w:type="dxa" w:w="2381"/>
          </w:tcPr>
          <w:p>
            <w:pPr>
              <w:spacing w:after="40"/>
              <w:jc w:val="left"/>
            </w:pPr>
            <w:r/>
            <w:r>
              <w:rPr>
                <w:rFonts w:ascii="ＭＳ 明朝" w:hAnsi="ＭＳ 明朝" w:eastAsia="ＭＳ 明朝"/>
                <w:b w:val="0"/>
                <w:sz w:val="19"/>
              </w:rPr>
              <w:t>採用値（経営戦略に依拠）</w:t>
            </w:r>
          </w:p>
        </w:tc>
        <w:tc>
          <w:tcPr>
            <w:tcW w:type="dxa" w:w="6973"/>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2381"/>
          </w:tcPr>
          <w:p>
            <w:pPr>
              <w:spacing w:after="40"/>
              <w:jc w:val="left"/>
            </w:pPr>
            <w:r/>
            <w:r>
              <w:rPr>
                <w:rFonts w:ascii="ＭＳ 明朝" w:hAnsi="ＭＳ 明朝" w:eastAsia="ＭＳ 明朝"/>
                <w:b w:val="0"/>
                <w:sz w:val="19"/>
              </w:rPr>
              <w:t>推計値（要更新）</w:t>
            </w:r>
          </w:p>
        </w:tc>
        <w:tc>
          <w:tcPr>
            <w:tcW w:type="dxa" w:w="6973"/>
          </w:tcPr>
          <w:p>
            <w:pPr>
              <w:spacing w:after="40"/>
              <w:jc w:val="center"/>
            </w:pPr>
            <w:r/>
            <w:r>
              <w:rPr>
                <w:rFonts w:ascii="ＭＳ 明朝" w:hAnsi="ＭＳ 明朝" w:eastAsia="ＭＳ 明朝"/>
                <w:b w:val="0"/>
                <w:sz w:val="19"/>
              </w:rPr>
              <w:t>資産維持費の対象資産、水量ゾーン別の件数、水産加工業の使用水量、口径別料金表案の水準</w:t>
            </w:r>
          </w:p>
        </w:tc>
      </w:tr>
    </w:tbl>
    <w:p>
      <w:pPr>
        <w:spacing w:after="80" w:line="276" w:lineRule="auto"/>
      </w:pPr>
    </w:p>
    <w:p>
      <w:pPr>
        <w:spacing w:before="240" w:after="100"/>
      </w:pPr>
      <w:r>
        <w:rPr>
          <w:rFonts w:ascii="ＭＳ ゴシック" w:hAnsi="ＭＳ ゴシック" w:eastAsia="ＭＳ ゴシック"/>
          <w:b/>
          <w:color w:val="2E75B6"/>
          <w:sz w:val="23"/>
        </w:rPr>
        <w:t>5-2　税区分の扱い</w:t>
      </w:r>
    </w:p>
    <w:p>
      <w:pPr>
        <w:spacing w:after="120" w:line="276" w:lineRule="auto"/>
      </w:pPr>
      <w:r>
        <w:rPr>
          <w:rFonts w:ascii="ＭＳ 明朝" w:hAnsi="ＭＳ 明朝" w:eastAsia="ＭＳ 明朝"/>
          <w:b w:val="0"/>
          <w:sz w:val="21"/>
        </w:rPr>
        <w:t>本報告は、料金表と個別利用者の負担額を税込で、収支と総括原価を税抜で扱っている。両者を直接比較することはできない。</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628"/>
            <w:shd w:val="clear" w:fill="2E75B6"/>
          </w:tcPr>
          <w:p>
            <w:pPr>
              <w:spacing w:after="40"/>
              <w:jc w:val="center"/>
            </w:pPr>
            <w:r/>
            <w:r>
              <w:rPr>
                <w:rFonts w:ascii="ＭＳ ゴシック" w:hAnsi="ＭＳ ゴシック" w:eastAsia="ＭＳ ゴシック"/>
                <w:b/>
                <w:color w:val="FFFFFF"/>
                <w:sz w:val="19"/>
              </w:rPr>
              <w:t>対象</w:t>
            </w:r>
          </w:p>
        </w:tc>
        <w:tc>
          <w:tcPr>
            <w:tcW w:type="dxa" w:w="1474"/>
            <w:shd w:val="clear" w:fill="2E75B6"/>
          </w:tcPr>
          <w:p>
            <w:pPr>
              <w:spacing w:after="40"/>
              <w:jc w:val="center"/>
            </w:pPr>
            <w:r/>
            <w:r>
              <w:rPr>
                <w:rFonts w:ascii="ＭＳ ゴシック" w:hAnsi="ＭＳ ゴシック" w:eastAsia="ＭＳ ゴシック"/>
                <w:b/>
                <w:color w:val="FFFFFF"/>
                <w:sz w:val="19"/>
              </w:rPr>
              <w:t>税区分</w:t>
            </w:r>
          </w:p>
        </w:tc>
        <w:tc>
          <w:tcPr>
            <w:tcW w:type="dxa" w:w="4252"/>
            <w:shd w:val="clear" w:fill="2E75B6"/>
          </w:tcPr>
          <w:p>
            <w:pPr>
              <w:spacing w:after="40"/>
              <w:jc w:val="center"/>
            </w:pPr>
            <w:r/>
            <w:r>
              <w:rPr>
                <w:rFonts w:ascii="ＭＳ ゴシック" w:hAnsi="ＭＳ ゴシック" w:eastAsia="ＭＳ ゴシック"/>
                <w:b/>
                <w:color w:val="FFFFFF"/>
                <w:sz w:val="19"/>
              </w:rPr>
              <w:t>該当箇所</w:t>
            </w:r>
          </w:p>
        </w:tc>
      </w:tr>
      <w:tr>
        <w:tc>
          <w:tcPr>
            <w:tcW w:type="dxa" w:w="3628"/>
          </w:tcPr>
          <w:p>
            <w:pPr>
              <w:spacing w:after="40"/>
              <w:jc w:val="left"/>
            </w:pPr>
            <w:r/>
            <w:r>
              <w:rPr>
                <w:rFonts w:ascii="ＭＳ 明朝" w:hAnsi="ＭＳ 明朝" w:eastAsia="ＭＳ 明朝"/>
                <w:b w:val="0"/>
                <w:sz w:val="19"/>
              </w:rPr>
              <w:t>料金表・個別利用者の月額・倍率</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第2章、第6〜9章、第11章</w:t>
            </w:r>
          </w:p>
        </w:tc>
      </w:tr>
      <w:tr>
        <w:tc>
          <w:tcPr>
            <w:tcW w:type="dxa" w:w="3628"/>
          </w:tcPr>
          <w:p>
            <w:pPr>
              <w:spacing w:after="40"/>
              <w:jc w:val="left"/>
            </w:pPr>
            <w:r/>
            <w:r>
              <w:rPr>
                <w:rFonts w:ascii="ＭＳ 明朝" w:hAnsi="ＭＳ 明朝" w:eastAsia="ＭＳ 明朝"/>
                <w:b w:val="0"/>
                <w:sz w:val="19"/>
              </w:rPr>
              <w:t>収益的収支・総括原価・給水原価・供給単価</w:t>
            </w:r>
          </w:p>
        </w:tc>
        <w:tc>
          <w:tcPr>
            <w:tcW w:type="dxa" w:w="1474"/>
          </w:tcPr>
          <w:p>
            <w:pPr>
              <w:spacing w:after="40"/>
              <w:jc w:val="center"/>
            </w:pPr>
            <w:r/>
            <w:r>
              <w:rPr>
                <w:rFonts w:ascii="ＭＳ 明朝" w:hAnsi="ＭＳ 明朝" w:eastAsia="ＭＳ 明朝"/>
                <w:b w:val="0"/>
                <w:sz w:val="19"/>
              </w:rPr>
              <w:t>税抜</w:t>
            </w:r>
          </w:p>
        </w:tc>
        <w:tc>
          <w:tcPr>
            <w:tcW w:type="dxa" w:w="4252"/>
          </w:tcPr>
          <w:p>
            <w:pPr>
              <w:spacing w:after="40"/>
              <w:jc w:val="center"/>
            </w:pPr>
            <w:r/>
            <w:r>
              <w:rPr>
                <w:rFonts w:ascii="ＭＳ 明朝" w:hAnsi="ＭＳ 明朝" w:eastAsia="ＭＳ 明朝"/>
                <w:b w:val="0"/>
                <w:sz w:val="19"/>
              </w:rPr>
              <w:t>第4章、第9章5節</w:t>
            </w:r>
          </w:p>
        </w:tc>
      </w:tr>
      <w:tr>
        <w:tc>
          <w:tcPr>
            <w:tcW w:type="dxa" w:w="3628"/>
          </w:tcPr>
          <w:p>
            <w:pPr>
              <w:spacing w:after="40"/>
              <w:jc w:val="left"/>
            </w:pPr>
            <w:r/>
            <w:r>
              <w:rPr>
                <w:rFonts w:ascii="ＭＳ 明朝" w:hAnsi="ＭＳ 明朝" w:eastAsia="ＭＳ 明朝"/>
                <w:b w:val="0"/>
                <w:sz w:val="19"/>
              </w:rPr>
              <w:t>建設改良費・企業債・総整備費</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第3章、第12章</w:t>
            </w:r>
          </w:p>
        </w:tc>
      </w:tr>
    </w:tbl>
    <w:p>
      <w:pPr>
        <w:spacing w:after="80" w:line="276" w:lineRule="auto"/>
      </w:pPr>
    </w:p>
    <w:p>
      <w:pPr>
        <w:spacing w:before="180" w:after="80"/>
      </w:pPr>
      <w:r>
        <w:rPr>
          <w:rFonts w:ascii="ＭＳ ゴシック" w:hAnsi="ＭＳ ゴシック" w:eastAsia="ＭＳ ゴシック"/>
          <w:b/>
          <w:color w:val="C55A11"/>
          <w:sz w:val="21"/>
        </w:rPr>
        <w:t>令和7年度実績の橋渡し</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金額</w:t>
            </w:r>
          </w:p>
        </w:tc>
        <w:tc>
          <w:tcPr>
            <w:tcW w:type="dxa" w:w="2268"/>
            <w:shd w:val="clear" w:fill="2E75B6"/>
          </w:tcPr>
          <w:p>
            <w:pPr>
              <w:spacing w:after="40"/>
              <w:jc w:val="center"/>
            </w:pPr>
            <w:r/>
            <w:r>
              <w:rPr>
                <w:rFonts w:ascii="ＭＳ ゴシック" w:hAnsi="ＭＳ ゴシック" w:eastAsia="ＭＳ ゴシック"/>
                <w:b/>
                <w:color w:val="FFFFFF"/>
                <w:sz w:val="19"/>
              </w:rPr>
              <w:t>水量</w:t>
            </w:r>
          </w:p>
        </w:tc>
        <w:tc>
          <w:tcPr>
            <w:tcW w:type="dxa" w:w="2211"/>
            <w:shd w:val="clear" w:fill="2E75B6"/>
          </w:tcPr>
          <w:p>
            <w:pPr>
              <w:spacing w:after="40"/>
              <w:jc w:val="center"/>
            </w:pPr>
            <w:r/>
            <w:r>
              <w:rPr>
                <w:rFonts w:ascii="ＭＳ ゴシック" w:hAnsi="ＭＳ ゴシック" w:eastAsia="ＭＳ ゴシック"/>
                <w:b/>
                <w:color w:val="FFFFFF"/>
                <w:sz w:val="19"/>
              </w:rPr>
              <w:t>単価</w:t>
            </w:r>
          </w:p>
        </w:tc>
      </w:tr>
      <w:tr>
        <w:tc>
          <w:tcPr>
            <w:tcW w:type="dxa" w:w="2608"/>
          </w:tcPr>
          <w:p>
            <w:pPr>
              <w:spacing w:after="40"/>
              <w:jc w:val="left"/>
            </w:pPr>
            <w:r/>
            <w:r>
              <w:rPr>
                <w:rFonts w:ascii="ＭＳ 明朝" w:hAnsi="ＭＳ 明朝" w:eastAsia="ＭＳ 明朝"/>
                <w:b w:val="0"/>
                <w:sz w:val="19"/>
              </w:rPr>
              <w:t>調定額（税込）</w:t>
            </w:r>
          </w:p>
        </w:tc>
        <w:tc>
          <w:tcPr>
            <w:tcW w:type="dxa" w:w="2268"/>
          </w:tcPr>
          <w:p>
            <w:pPr>
              <w:spacing w:after="40"/>
              <w:jc w:val="right"/>
            </w:pPr>
            <w:r/>
            <w:r>
              <w:rPr>
                <w:rFonts w:ascii="ＭＳ 明朝" w:hAnsi="ＭＳ 明朝" w:eastAsia="ＭＳ 明朝"/>
                <w:b w:val="0"/>
                <w:sz w:val="19"/>
              </w:rPr>
              <w:t>131,428,825円</w:t>
            </w:r>
          </w:p>
        </w:tc>
        <w:tc>
          <w:tcPr>
            <w:tcW w:type="dxa" w:w="2268"/>
          </w:tcPr>
          <w:p>
            <w:pPr>
              <w:spacing w:after="40"/>
              <w:jc w:val="right"/>
            </w:pPr>
            <w:r/>
            <w:r>
              <w:rPr>
                <w:rFonts w:ascii="ＭＳ 明朝" w:hAnsi="ＭＳ 明朝" w:eastAsia="ＭＳ 明朝"/>
                <w:b w:val="0"/>
                <w:sz w:val="19"/>
              </w:rPr>
              <w:t>1,024,576㎥</w:t>
            </w:r>
          </w:p>
        </w:tc>
        <w:tc>
          <w:tcPr>
            <w:tcW w:type="dxa" w:w="2211"/>
          </w:tcPr>
          <w:p>
            <w:pPr>
              <w:spacing w:after="40"/>
              <w:jc w:val="right"/>
            </w:pPr>
            <w:r/>
            <w:r>
              <w:rPr>
                <w:rFonts w:ascii="ＭＳ 明朝" w:hAnsi="ＭＳ 明朝" w:eastAsia="ＭＳ 明朝"/>
                <w:b w:val="0"/>
                <w:sz w:val="19"/>
              </w:rPr>
              <w:t>128.2円/㎥</w:t>
            </w:r>
          </w:p>
        </w:tc>
      </w:tr>
      <w:tr>
        <w:tc>
          <w:tcPr>
            <w:tcW w:type="dxa" w:w="2608"/>
          </w:tcPr>
          <w:p>
            <w:pPr>
              <w:spacing w:after="40"/>
              <w:jc w:val="left"/>
            </w:pPr>
            <w:r/>
            <w:r>
              <w:rPr>
                <w:rFonts w:ascii="ＭＳ 明朝" w:hAnsi="ＭＳ 明朝" w:eastAsia="ＭＳ 明朝"/>
                <w:b w:val="0"/>
                <w:sz w:val="19"/>
              </w:rPr>
              <w:t xml:space="preserve">　うち消費税相当額</w:t>
            </w:r>
          </w:p>
        </w:tc>
        <w:tc>
          <w:tcPr>
            <w:tcW w:type="dxa" w:w="2268"/>
          </w:tcPr>
          <w:p>
            <w:pPr>
              <w:spacing w:after="40"/>
              <w:jc w:val="right"/>
            </w:pPr>
            <w:r/>
            <w:r>
              <w:rPr>
                <w:rFonts w:ascii="ＭＳ 明朝" w:hAnsi="ＭＳ 明朝" w:eastAsia="ＭＳ 明朝"/>
                <w:b w:val="0"/>
                <w:sz w:val="19"/>
              </w:rPr>
              <w:t>▲11,948,075円</w:t>
            </w:r>
          </w:p>
        </w:tc>
        <w:tc>
          <w:tcPr>
            <w:tcW w:type="dxa" w:w="2268"/>
          </w:tcPr>
          <w:p>
            <w:pPr>
              <w:spacing w:after="40"/>
              <w:jc w:val="right"/>
            </w:pPr>
            <w:r/>
            <w:r>
              <w:rPr>
                <w:rFonts w:ascii="ＭＳ 明朝" w:hAnsi="ＭＳ 明朝" w:eastAsia="ＭＳ 明朝"/>
                <w:b w:val="0"/>
                <w:sz w:val="19"/>
              </w:rPr>
              <w:t>―</w:t>
            </w:r>
          </w:p>
        </w:tc>
        <w:tc>
          <w:tcPr>
            <w:tcW w:type="dxa" w:w="2211"/>
          </w:tcPr>
          <w:p>
            <w:pPr>
              <w:spacing w:after="40"/>
              <w:jc w:val="right"/>
            </w:pPr>
            <w:r/>
            <w:r>
              <w:rPr>
                <w:rFonts w:ascii="ＭＳ 明朝" w:hAnsi="ＭＳ 明朝" w:eastAsia="ＭＳ 明朝"/>
                <w:b w:val="0"/>
                <w:sz w:val="19"/>
              </w:rPr>
              <w:t>―</w:t>
            </w:r>
          </w:p>
        </w:tc>
      </w:tr>
      <w:tr>
        <w:tc>
          <w:tcPr>
            <w:tcW w:type="dxa" w:w="2608"/>
          </w:tcPr>
          <w:p>
            <w:pPr>
              <w:spacing w:after="40"/>
              <w:jc w:val="left"/>
            </w:pPr>
            <w:r/>
            <w:r>
              <w:rPr>
                <w:rFonts w:ascii="ＭＳ 明朝" w:hAnsi="ＭＳ 明朝" w:eastAsia="ＭＳ 明朝"/>
                <w:b/>
                <w:sz w:val="19"/>
              </w:rPr>
              <w:t>調定額（税抜）</w:t>
            </w:r>
          </w:p>
        </w:tc>
        <w:tc>
          <w:tcPr>
            <w:tcW w:type="dxa" w:w="2268"/>
          </w:tcPr>
          <w:p>
            <w:pPr>
              <w:spacing w:after="40"/>
              <w:jc w:val="right"/>
            </w:pPr>
            <w:r/>
            <w:r>
              <w:rPr>
                <w:rFonts w:ascii="ＭＳ 明朝" w:hAnsi="ＭＳ 明朝" w:eastAsia="ＭＳ 明朝"/>
                <w:b/>
                <w:sz w:val="19"/>
              </w:rPr>
              <w:t>119,480,750円</w:t>
            </w:r>
          </w:p>
        </w:tc>
        <w:tc>
          <w:tcPr>
            <w:tcW w:type="dxa" w:w="2268"/>
          </w:tcPr>
          <w:p>
            <w:pPr>
              <w:spacing w:after="40"/>
              <w:jc w:val="right"/>
            </w:pPr>
            <w:r/>
            <w:r>
              <w:rPr>
                <w:rFonts w:ascii="ＭＳ 明朝" w:hAnsi="ＭＳ 明朝" w:eastAsia="ＭＳ 明朝"/>
                <w:b/>
                <w:sz w:val="19"/>
              </w:rPr>
              <w:t>1,024,576㎥</w:t>
            </w:r>
          </w:p>
        </w:tc>
        <w:tc>
          <w:tcPr>
            <w:tcW w:type="dxa" w:w="2211"/>
          </w:tcPr>
          <w:p>
            <w:pPr>
              <w:spacing w:after="40"/>
              <w:jc w:val="right"/>
            </w:pPr>
            <w:r/>
            <w:r>
              <w:rPr>
                <w:rFonts w:ascii="ＭＳ 明朝" w:hAnsi="ＭＳ 明朝" w:eastAsia="ＭＳ 明朝"/>
                <w:b/>
                <w:sz w:val="19"/>
              </w:rPr>
              <w:t>116.6円/㎥</w:t>
            </w:r>
          </w:p>
        </w:tc>
      </w:tr>
    </w:tbl>
    <w:p>
      <w:pPr>
        <w:spacing w:after="200" w:line="276" w:lineRule="auto"/>
      </w:pPr>
      <w:r>
        <w:rPr>
          <w:rFonts w:ascii="ＭＳ 明朝" w:hAnsi="ＭＳ 明朝" w:eastAsia="ＭＳ 明朝"/>
          <w:b w:val="0"/>
          <w:color w:val="595959"/>
          <w:sz w:val="17"/>
        </w:rPr>
        <w:t>※ 令和8〜12年度の供給単価136.9円/㎥は税抜の将来推計であり、比較の対象となるのは税抜の116.6円/㎥である。128.2円/㎥は税込調定単価であるため、将来推計と同じ指標として比較することはできない。また決算給水収益との対比には、期間帰属および調定取消等の調整が別途必要となる。</w:t>
      </w:r>
    </w:p>
    <w:p>
      <w:pPr>
        <w:spacing w:before="240" w:after="100"/>
      </w:pPr>
      <w:r>
        <w:rPr>
          <w:rFonts w:ascii="ＭＳ ゴシック" w:hAnsi="ＭＳ ゴシック" w:eastAsia="ＭＳ ゴシック"/>
          <w:b/>
          <w:color w:val="2E75B6"/>
          <w:sz w:val="23"/>
        </w:rPr>
        <w:t>5-3　基準内繰入金の控除条件</w:t>
      </w:r>
    </w:p>
    <w:p>
      <w:pPr>
        <w:spacing w:after="120" w:line="276" w:lineRule="auto"/>
      </w:pPr>
      <w:r>
        <w:rPr>
          <w:rFonts w:ascii="ＭＳ 明朝" w:hAnsi="ＭＳ 明朝" w:eastAsia="ＭＳ 明朝"/>
          <w:b w:val="0"/>
          <w:sz w:val="21"/>
        </w:rPr>
        <w:t>4-2で控除した他会計補助金272,997千円は、経営戦略の財政シミュレーションから金額を追跡できる。ただし、同シミュレーションの算式は人件費と支払利息の合計となっており、説明欄の記載（減価償却費・人件費・支払利息）と一致していない。繰出基準の条項別・費目別の区分、基準内と基準外の切り分け、収益的収入と資本的収入の別についても、町の確認資料を得てい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論点</w:t>
            </w:r>
          </w:p>
        </w:tc>
        <w:tc>
          <w:tcPr>
            <w:tcW w:type="dxa" w:w="6973"/>
            <w:shd w:val="clear" w:fill="2E75B6"/>
          </w:tcPr>
          <w:p>
            <w:pPr>
              <w:spacing w:after="40"/>
              <w:jc w:val="center"/>
            </w:pPr>
            <w:r/>
            <w:r>
              <w:rPr>
                <w:rFonts w:ascii="ＭＳ ゴシック" w:hAnsi="ＭＳ ゴシック" w:eastAsia="ＭＳ ゴシック"/>
                <w:b/>
                <w:color w:val="FFFFFF"/>
                <w:sz w:val="19"/>
              </w:rPr>
              <w:t>内容</w:t>
            </w:r>
          </w:p>
        </w:tc>
      </w:tr>
      <w:tr>
        <w:tc>
          <w:tcPr>
            <w:tcW w:type="dxa" w:w="2381"/>
          </w:tcPr>
          <w:p>
            <w:pPr>
              <w:spacing w:after="40"/>
              <w:jc w:val="left"/>
            </w:pPr>
            <w:r/>
            <w:r>
              <w:rPr>
                <w:rFonts w:ascii="ＭＳ 明朝" w:hAnsi="ＭＳ 明朝" w:eastAsia="ＭＳ 明朝"/>
                <w:b w:val="0"/>
                <w:sz w:val="19"/>
              </w:rPr>
              <w:t>金額の追跡</w:t>
            </w:r>
          </w:p>
        </w:tc>
        <w:tc>
          <w:tcPr>
            <w:tcW w:type="dxa" w:w="6973"/>
          </w:tcPr>
          <w:p>
            <w:pPr>
              <w:spacing w:after="40"/>
              <w:jc w:val="center"/>
            </w:pPr>
            <w:r/>
            <w:r>
              <w:rPr>
                <w:rFonts w:ascii="ＭＳ 明朝" w:hAnsi="ＭＳ 明朝" w:eastAsia="ＭＳ 明朝"/>
                <w:b w:val="0"/>
                <w:sz w:val="19"/>
              </w:rPr>
              <w:t>経営戦略の財政シミュレーションの該当行の5年合計と一致する</w:t>
            </w:r>
          </w:p>
        </w:tc>
      </w:tr>
      <w:tr>
        <w:tc>
          <w:tcPr>
            <w:tcW w:type="dxa" w:w="2381"/>
          </w:tcPr>
          <w:p>
            <w:pPr>
              <w:spacing w:after="40"/>
              <w:jc w:val="left"/>
            </w:pPr>
            <w:r/>
            <w:r>
              <w:rPr>
                <w:rFonts w:ascii="ＭＳ 明朝" w:hAnsi="ＭＳ 明朝" w:eastAsia="ＭＳ 明朝"/>
                <w:b w:val="0"/>
                <w:sz w:val="19"/>
              </w:rPr>
              <w:t>算式と説明の不一致</w:t>
            </w:r>
          </w:p>
        </w:tc>
        <w:tc>
          <w:tcPr>
            <w:tcW w:type="dxa" w:w="6973"/>
          </w:tcPr>
          <w:p>
            <w:pPr>
              <w:spacing w:after="40"/>
              <w:jc w:val="center"/>
            </w:pPr>
            <w:r/>
            <w:r>
              <w:rPr>
                <w:rFonts w:ascii="ＭＳ 明朝" w:hAnsi="ＭＳ 明朝" w:eastAsia="ＭＳ 明朝"/>
                <w:b w:val="0"/>
                <w:sz w:val="19"/>
              </w:rPr>
              <w:t>算式は人件費＋支払利息。説明欄は減価償却費・人件費・支払利息</w:t>
            </w:r>
          </w:p>
        </w:tc>
      </w:tr>
      <w:tr>
        <w:tc>
          <w:tcPr>
            <w:tcW w:type="dxa" w:w="2381"/>
          </w:tcPr>
          <w:p>
            <w:pPr>
              <w:spacing w:after="40"/>
              <w:jc w:val="left"/>
            </w:pPr>
            <w:r/>
            <w:r>
              <w:rPr>
                <w:rFonts w:ascii="ＭＳ 明朝" w:hAnsi="ＭＳ 明朝" w:eastAsia="ＭＳ 明朝"/>
                <w:b w:val="0"/>
                <w:sz w:val="19"/>
              </w:rPr>
              <w:t>繰出基準との対応</w:t>
            </w:r>
          </w:p>
        </w:tc>
        <w:tc>
          <w:tcPr>
            <w:tcW w:type="dxa" w:w="6973"/>
          </w:tcPr>
          <w:p>
            <w:pPr>
              <w:spacing w:after="40"/>
              <w:jc w:val="center"/>
            </w:pPr>
            <w:r/>
            <w:r>
              <w:rPr>
                <w:rFonts w:ascii="ＭＳ 明朝" w:hAnsi="ＭＳ 明朝" w:eastAsia="ＭＳ 明朝"/>
                <w:b w:val="0"/>
                <w:sz w:val="19"/>
              </w:rPr>
              <w:t>条項別・費目別の区分と負担対象費目の確認が未了</w:t>
            </w:r>
          </w:p>
        </w:tc>
      </w:tr>
      <w:tr>
        <w:tc>
          <w:tcPr>
            <w:tcW w:type="dxa" w:w="2381"/>
          </w:tcPr>
          <w:p>
            <w:pPr>
              <w:spacing w:after="40"/>
              <w:jc w:val="left"/>
            </w:pPr>
            <w:r/>
            <w:r>
              <w:rPr>
                <w:rFonts w:ascii="ＭＳ 明朝" w:hAnsi="ＭＳ 明朝" w:eastAsia="ＭＳ 明朝"/>
                <w:b w:val="0"/>
                <w:sz w:val="19"/>
              </w:rPr>
              <w:t>二重控除の有無</w:t>
            </w:r>
          </w:p>
        </w:tc>
        <w:tc>
          <w:tcPr>
            <w:tcW w:type="dxa" w:w="6973"/>
          </w:tcPr>
          <w:p>
            <w:pPr>
              <w:spacing w:after="40"/>
              <w:jc w:val="center"/>
            </w:pPr>
            <w:r/>
            <w:r>
              <w:rPr>
                <w:rFonts w:ascii="ＭＳ 明朝" w:hAnsi="ＭＳ 明朝" w:eastAsia="ＭＳ 明朝"/>
                <w:b w:val="0"/>
                <w:sz w:val="19"/>
              </w:rPr>
              <w:t>長期前受金戻入益との重複の有無を照合する必要がある</w:t>
            </w:r>
          </w:p>
        </w:tc>
      </w:tr>
      <w:tr>
        <w:tc>
          <w:tcPr>
            <w:tcW w:type="dxa" w:w="2381"/>
          </w:tcPr>
          <w:p>
            <w:pPr>
              <w:spacing w:after="40"/>
              <w:jc w:val="left"/>
            </w:pPr>
            <w:r/>
            <w:r>
              <w:rPr>
                <w:rFonts w:ascii="ＭＳ 明朝" w:hAnsi="ＭＳ 明朝" w:eastAsia="ＭＳ 明朝"/>
                <w:b/>
                <w:sz w:val="19"/>
              </w:rPr>
              <w:t>影響の大きさ</w:t>
            </w:r>
          </w:p>
        </w:tc>
        <w:tc>
          <w:tcPr>
            <w:tcW w:type="dxa" w:w="6973"/>
          </w:tcPr>
          <w:p>
            <w:pPr>
              <w:spacing w:after="40"/>
              <w:jc w:val="center"/>
            </w:pPr>
            <w:r/>
            <w:r>
              <w:rPr>
                <w:rFonts w:ascii="ＭＳ 明朝" w:hAnsi="ＭＳ 明朝" w:eastAsia="ＭＳ 明朝"/>
                <w:b/>
                <w:sz w:val="19"/>
              </w:rPr>
              <w:t>控除の有無で必要改定率は約0.46倍、年間必要収入は約54,599千円変わる</w:t>
            </w:r>
          </w:p>
        </w:tc>
      </w:tr>
    </w:tbl>
    <w:p>
      <w:pPr>
        <w:spacing w:after="200" w:line="276" w:lineRule="auto"/>
      </w:pPr>
      <w:r>
        <w:rPr>
          <w:rFonts w:ascii="ＭＳ 明朝" w:hAnsi="ＭＳ 明朝" w:eastAsia="ＭＳ 明朝"/>
          <w:b w:val="0"/>
          <w:color w:val="595959"/>
          <w:sz w:val="17"/>
        </w:rPr>
        <w:t>※ 本報告は控除する前提を採っているが、これは繰出基準の整理が成立する場合の試算である。町の確認を経て確定させる。</w:t>
      </w:r>
    </w:p>
    <w:p>
      <w:pPr>
        <w:spacing w:before="240" w:after="100"/>
      </w:pPr>
      <w:r>
        <w:rPr>
          <w:rFonts w:ascii="ＭＳ ゴシック" w:hAnsi="ＭＳ ゴシック" w:eastAsia="ＭＳ ゴシック"/>
          <w:b/>
          <w:color w:val="2E75B6"/>
          <w:sz w:val="23"/>
        </w:rPr>
        <w:t>5-4　資産維持費の対象資産</w:t>
      </w:r>
    </w:p>
    <w:p>
      <w:pPr>
        <w:spacing w:after="120" w:line="276" w:lineRule="auto"/>
      </w:pPr>
      <w:r>
        <w:rPr>
          <w:rFonts w:ascii="ＭＳ 明朝" w:hAnsi="ＭＳ 明朝" w:eastAsia="ＭＳ 明朝"/>
          <w:b w:val="0"/>
          <w:sz w:val="21"/>
        </w:rPr>
        <w:t>資産維持費は、対象資産に資産維持率を乗じて算定する。算式は「水道料金算定要領」と整合するが、算式に入れる対象資産そのものが未確定である。</w:t>
      </w:r>
    </w:p>
    <w:p>
      <w:pPr>
        <w:pStyle w:val="ListBullet"/>
        <w:spacing w:after="60" w:line="269" w:lineRule="auto"/>
      </w:pPr>
      <w:r>
        <w:rPr>
          <w:rFonts w:ascii="ＭＳ 明朝" w:hAnsi="ＭＳ 明朝" w:eastAsia="ＭＳ 明朝"/>
          <w:sz w:val="21"/>
        </w:rPr>
        <w:t>対象資産の期首残高は、経営戦略の資産維持費シートから採った値であり、同シートの年度表示は平成31年度末である。令和8年4月1日時点の固定資産台帳残高ではない</w:t>
      </w:r>
    </w:p>
    <w:p>
      <w:pPr>
        <w:pStyle w:val="ListBullet"/>
        <w:spacing w:after="60" w:line="269" w:lineRule="auto"/>
      </w:pPr>
      <w:r>
        <w:rPr>
          <w:rFonts w:ascii="ＭＳ 明朝" w:hAnsi="ＭＳ 明朝" w:eastAsia="ＭＳ 明朝"/>
          <w:sz w:val="21"/>
        </w:rPr>
        <w:t>期末残高750,000千円は直接入力の推計値であり、取得・除却・償却をつなぐ計算過程を示していない</w:t>
      </w:r>
    </w:p>
    <w:p>
      <w:pPr>
        <w:pStyle w:val="ListBullet"/>
        <w:spacing w:after="60" w:line="269" w:lineRule="auto"/>
      </w:pPr>
      <w:r>
        <w:rPr>
          <w:rFonts w:ascii="ＭＳ 明朝" w:hAnsi="ＭＳ 明朝" w:eastAsia="ＭＳ 明朝"/>
          <w:sz w:val="21"/>
        </w:rPr>
        <w:t>期末日を令和12年3月31日とする一方、費用の対象期間は令和8〜12年度の5年度である。5年度の期末日は令和13年3月31日であり、対象期間をそろえる必要がある</w:t>
      </w:r>
    </w:p>
    <w:p>
      <w:pPr>
        <w:pStyle w:val="ListBullet"/>
        <w:spacing w:after="60" w:line="269" w:lineRule="auto"/>
      </w:pPr>
      <w:r>
        <w:rPr>
          <w:rFonts w:ascii="ＭＳ 明朝" w:hAnsi="ＭＳ 明朝" w:eastAsia="ＭＳ 明朝"/>
          <w:sz w:val="21"/>
        </w:rPr>
        <w:t>★対象資産が100,000千円変わると、5年分の資産維持費は15,000千円、必要改定率は約0.025倍動く</w:t>
      </w:r>
    </w:p>
    <w:p>
      <w:pPr>
        <w:spacing w:after="120" w:line="276" w:lineRule="auto"/>
      </w:pPr>
      <w:r>
        <w:rPr>
          <w:rFonts w:ascii="ＭＳ 明朝" w:hAnsi="ＭＳ 明朝" w:eastAsia="ＭＳ 明朝"/>
          <w:b w:val="0"/>
          <w:sz w:val="21"/>
        </w:rPr>
        <w:t>最終報告では、対象資産・除外資産・期首期末残高・取得・除却・償却を固定資産台帳に結び付けて再構築する。</w:t>
      </w:r>
    </w:p>
    <w:p>
      <w:pPr>
        <w:spacing w:before="240" w:after="100"/>
      </w:pPr>
      <w:r>
        <w:rPr>
          <w:rFonts w:ascii="ＭＳ ゴシック" w:hAnsi="ＭＳ ゴシック" w:eastAsia="ＭＳ ゴシック"/>
          <w:b/>
          <w:color w:val="2E75B6"/>
          <w:sz w:val="23"/>
        </w:rPr>
        <w:t>5-5　減価償却費の接続</w:t>
      </w:r>
    </w:p>
    <w:p>
      <w:pPr>
        <w:spacing w:after="120" w:line="276" w:lineRule="auto"/>
      </w:pPr>
      <w:r>
        <w:rPr>
          <w:rFonts w:ascii="ＭＳ 明朝" w:hAnsi="ＭＳ 明朝" w:eastAsia="ＭＳ 明朝"/>
          <w:b w:val="0"/>
          <w:sz w:val="21"/>
        </w:rPr>
        <w:t>減価償却費は、経営戦略が計上する既存資産分を残したうえで、建設改良費調査票に基づく新規分を加える方法で算定している。本報告では、既存資産分を経営戦略の財政シミュレーションの計上額（令和6年度末取得資産1,822,881千円、令和7年度取得資産32,456千円）に直接接続し直した。従前の差引方式では既存資産分が41,318千円不足しており、必要改定率で約0.07倍の差が生じていた。</w:t>
      </w:r>
    </w:p>
    <w:p>
      <w:pPr>
        <w:spacing w:after="80" w:line="276" w:lineRule="auto"/>
      </w:pPr>
      <w:r>
        <w:rPr>
          <w:rFonts w:ascii="ＭＳ 明朝" w:hAnsi="ＭＳ 明朝" w:eastAsia="ＭＳ 明朝"/>
          <w:b w:val="0"/>
          <w:sz w:val="21"/>
        </w:rPr>
        <w:t>ただし、次の点は未解決であり、最終報告で再構築する。</w:t>
      </w:r>
    </w:p>
    <w:p>
      <w:pPr>
        <w:pStyle w:val="ListBullet"/>
        <w:spacing w:after="60" w:line="269" w:lineRule="auto"/>
      </w:pPr>
      <w:r>
        <w:rPr>
          <w:rFonts w:ascii="ＭＳ 明朝" w:hAnsi="ＭＳ 明朝" w:eastAsia="ＭＳ 明朝"/>
          <w:sz w:val="21"/>
        </w:rPr>
        <w:t>新規分147,642千円は税込の建設改良費を38年で除した額である。取得価額の税処理と控除対象外消費税の扱いを整理する必要がある</w:t>
      </w:r>
    </w:p>
    <w:p>
      <w:pPr>
        <w:pStyle w:val="ListBullet"/>
        <w:spacing w:after="60" w:line="269" w:lineRule="auto"/>
      </w:pPr>
      <w:r>
        <w:rPr>
          <w:rFonts w:ascii="ＭＳ 明朝" w:hAnsi="ＭＳ 明朝" w:eastAsia="ＭＳ 明朝"/>
          <w:sz w:val="21"/>
        </w:rPr>
        <w:t>補助財源で取得する資産に対応する長期前受金戻入益を、新規分についても計上する必要がある</w:t>
      </w:r>
    </w:p>
    <w:p>
      <w:pPr>
        <w:pStyle w:val="ListBullet"/>
        <w:spacing w:after="60" w:line="269" w:lineRule="auto"/>
      </w:pPr>
      <w:r>
        <w:rPr>
          <w:rFonts w:ascii="ＭＳ 明朝" w:hAnsi="ＭＳ 明朝" w:eastAsia="ＭＳ 明朝"/>
          <w:sz w:val="21"/>
        </w:rPr>
        <w:t>供用開始年度（償却開始年度）を事業ごとに設定する必要がある</w:t>
      </w:r>
    </w:p>
    <w:p>
      <w:pPr>
        <w:pStyle w:val="ListBullet"/>
        <w:spacing w:after="60" w:line="269" w:lineRule="auto"/>
      </w:pPr>
      <w:r>
        <w:rPr>
          <w:rFonts w:ascii="ＭＳ 明朝" w:hAnsi="ＭＳ 明朝" w:eastAsia="ＭＳ 明朝"/>
          <w:sz w:val="21"/>
        </w:rPr>
        <w:t>機械・電気設備を38年とするか20年とするかで、必要改定率は約0.12倍動く</w:t>
      </w:r>
    </w:p>
    <w:p>
      <w:pPr>
        <w:spacing w:before="240" w:after="100"/>
      </w:pPr>
      <w:r>
        <w:rPr>
          <w:rFonts w:ascii="ＭＳ ゴシック" w:hAnsi="ＭＳ ゴシック" w:eastAsia="ＭＳ ゴシック"/>
          <w:b/>
          <w:color w:val="2E75B6"/>
          <w:sz w:val="23"/>
        </w:rPr>
        <w:t>5-6　利用者影響試算の母集団と代表性</w:t>
      </w:r>
    </w:p>
    <w:p>
      <w:pPr>
        <w:spacing w:after="120" w:line="276" w:lineRule="auto"/>
      </w:pPr>
      <w:r>
        <w:rPr>
          <w:rFonts w:ascii="ＭＳ 明朝" w:hAnsi="ＭＳ 明朝" w:eastAsia="ＭＳ 明朝"/>
          <w:b w:val="0"/>
          <w:sz w:val="21"/>
        </w:rPr>
        <w:t>第6章以降の利用者影響は、水量ゾーン別の代表値を用いた試算で算定している。この試算は負担配分の傾向を示すためのものであり、町全体の財政効果を確定するものではない。</w:t>
      </w:r>
    </w:p>
    <w:p>
      <w:pPr>
        <w:pStyle w:val="ListBullet"/>
        <w:spacing w:after="60" w:line="269" w:lineRule="auto"/>
      </w:pPr>
      <w:r>
        <w:rPr>
          <w:rFonts w:ascii="ＭＳ 明朝" w:hAnsi="ＭＳ 明朝" w:eastAsia="ＭＳ 明朝"/>
          <w:sz w:val="21"/>
        </w:rPr>
        <w:t>各水量ゾーンに代表口径を1つずつ割り当てており、実際の口径分布を反映していない。口径別体系への移行を検討する以上、口径分布は結果を左右する</w:t>
      </w:r>
    </w:p>
    <w:p>
      <w:pPr>
        <w:pStyle w:val="ListBullet"/>
        <w:spacing w:after="60" w:line="269" w:lineRule="auto"/>
      </w:pPr>
      <w:r>
        <w:rPr>
          <w:rFonts w:ascii="ＭＳ 明朝" w:hAnsi="ＭＳ 明朝" w:eastAsia="ＭＳ 明朝"/>
          <w:sz w:val="21"/>
        </w:rPr>
        <w:t>水量ゾーン別の件数は特定の集計によるものであり、令和7年11月の全口径データ（0㎥315件、1〜5㎥561件、501㎥超21件）とは一致しない。対象月・年度平均・全数かサンプルかを明示し、原票と照合する</w:t>
      </w:r>
    </w:p>
    <w:p>
      <w:pPr>
        <w:pStyle w:val="ListBullet"/>
        <w:spacing w:after="60" w:line="269" w:lineRule="auto"/>
      </w:pPr>
      <w:r>
        <w:rPr>
          <w:rFonts w:ascii="ＭＳ 明朝" w:hAnsi="ＭＳ 明朝" w:eastAsia="ＭＳ 明朝"/>
          <w:sz w:val="21"/>
        </w:rPr>
        <w:t>サンプル集計の水量は全調定水量の約4割にとどまり、使用者数もゾーン合計と一致しない。抽出条件と除外件数の理由を確認するまで、代表性は確認できていない</w:t>
      </w:r>
    </w:p>
    <w:p>
      <w:pPr>
        <w:pStyle w:val="ListBullet"/>
        <w:spacing w:after="60" w:line="269" w:lineRule="auto"/>
      </w:pPr>
      <w:r>
        <w:rPr>
          <w:rFonts w:ascii="ＭＳ 明朝" w:hAnsi="ＭＳ 明朝" w:eastAsia="ＭＳ 明朝"/>
          <w:sz w:val="21"/>
        </w:rPr>
        <w:t>試算の料金収入には補正係数を掛けているが、これを利用者数の補正と解釈すると年水量が財政指標の分母と一致しない。収入のみの経験補正として扱っている</w:t>
      </w:r>
    </w:p>
    <w:p>
      <w:pPr>
        <w:pStyle w:val="ListBullet"/>
        <w:spacing w:after="60" w:line="269" w:lineRule="auto"/>
      </w:pPr>
      <w:r>
        <w:rPr>
          <w:rFonts w:ascii="ＭＳ 明朝" w:hAnsi="ＭＳ 明朝" w:eastAsia="ＭＳ 明朝"/>
          <w:sz w:val="21"/>
        </w:rPr>
        <w:t>★口径別案が総括原価を100％回収するという結果は、試算の水準係数をその目標に合わせて解いた結果であり、実際の調定データから検証した結果ではない。参考として、令和7年11月の口径別・1㎥刻み件数に同じ料金案を適用すると現行比は約2.10倍となり、代表値による試算の1.99倍とは異なる</w:t>
      </w:r>
    </w:p>
    <w:p>
      <w:pPr>
        <w:spacing w:after="120" w:line="276" w:lineRule="auto"/>
      </w:pPr>
      <w:r>
        <w:rPr>
          <w:rFonts w:ascii="ＭＳ 明朝" w:hAnsi="ＭＳ 明朝" w:eastAsia="ＭＳ 明朝"/>
          <w:b w:val="0"/>
          <w:sz w:val="21"/>
        </w:rPr>
        <w:t>最終報告では、使用者番号・業種・口径・月別水量・用途・減免を共通の明細に持ち、同一の使用者に現行体系と各案を適用し直す方法に置き換える。</w:t>
      </w:r>
    </w:p>
    <w:p>
      <w:pPr>
        <w:spacing w:before="240" w:after="100"/>
      </w:pPr>
      <w:r>
        <w:rPr>
          <w:rFonts w:ascii="ＭＳ ゴシック" w:hAnsi="ＭＳ ゴシック" w:eastAsia="ＭＳ ゴシック"/>
          <w:b/>
          <w:color w:val="2E75B6"/>
          <w:sz w:val="23"/>
        </w:rPr>
        <w:t>5-7　水産加工業19社モデルの位置づけ</w:t>
      </w:r>
    </w:p>
    <w:p>
      <w:pPr>
        <w:spacing w:after="120" w:line="276" w:lineRule="auto"/>
      </w:pPr>
      <w:r>
        <w:rPr>
          <w:rFonts w:ascii="ＭＳ 明朝" w:hAnsi="ＭＳ 明朝" w:eastAsia="ＭＳ 明朝"/>
          <w:b w:val="0"/>
          <w:sz w:val="21"/>
        </w:rPr>
        <w:t>第8章・第9章に掲げる水産加工業19社の数値は、口径と使用水量を仮定した事例であり、実在の事業者の実績ではない。次の理由により、この事例から町全体の財政効果を算定することはできない。</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fill="2E75B6"/>
          </w:tcPr>
          <w:p>
            <w:pPr>
              <w:spacing w:after="40"/>
              <w:jc w:val="center"/>
            </w:pPr>
            <w:r/>
            <w:r>
              <w:rPr>
                <w:rFonts w:ascii="ＭＳ ゴシック" w:hAnsi="ＭＳ ゴシック" w:eastAsia="ＭＳ ゴシック"/>
                <w:b/>
                <w:color w:val="FFFFFF"/>
                <w:sz w:val="18"/>
              </w:rPr>
              <w:t>口径</w:t>
            </w:r>
          </w:p>
        </w:tc>
        <w:tc>
          <w:tcPr>
            <w:tcW w:type="dxa" w:w="1928"/>
            <w:shd w:val="clear" w:fill="2E75B6"/>
          </w:tcPr>
          <w:p>
            <w:pPr>
              <w:spacing w:after="40"/>
              <w:jc w:val="center"/>
            </w:pPr>
            <w:r/>
            <w:r>
              <w:rPr>
                <w:rFonts w:ascii="ＭＳ ゴシック" w:hAnsi="ＭＳ ゴシック" w:eastAsia="ＭＳ ゴシック"/>
                <w:b/>
                <w:color w:val="FFFFFF"/>
                <w:sz w:val="18"/>
              </w:rPr>
              <w:t>仮定した条件</w:t>
            </w:r>
          </w:p>
        </w:tc>
        <w:tc>
          <w:tcPr>
            <w:tcW w:type="dxa" w:w="1587"/>
            <w:shd w:val="clear" w:fill="2E75B6"/>
          </w:tcPr>
          <w:p>
            <w:pPr>
              <w:spacing w:after="40"/>
              <w:jc w:val="center"/>
            </w:pPr>
            <w:r/>
            <w:r>
              <w:rPr>
                <w:rFonts w:ascii="ＭＳ ゴシック" w:hAnsi="ＭＳ ゴシック" w:eastAsia="ＭＳ ゴシック"/>
                <w:b/>
                <w:color w:val="FFFFFF"/>
                <w:sz w:val="18"/>
              </w:rPr>
              <w:t>仮定による年水量</w:t>
            </w:r>
          </w:p>
        </w:tc>
        <w:tc>
          <w:tcPr>
            <w:tcW w:type="dxa" w:w="2268"/>
            <w:shd w:val="clear" w:fill="2E75B6"/>
          </w:tcPr>
          <w:p>
            <w:pPr>
              <w:spacing w:after="40"/>
              <w:jc w:val="center"/>
            </w:pPr>
            <w:r/>
            <w:r>
              <w:rPr>
                <w:rFonts w:ascii="ＭＳ ゴシック" w:hAnsi="ＭＳ ゴシック" w:eastAsia="ＭＳ ゴシック"/>
                <w:b/>
                <w:color w:val="FFFFFF"/>
                <w:sz w:val="18"/>
              </w:rPr>
              <w:t>令和7年度の同口径全体の実績</w:t>
            </w:r>
          </w:p>
        </w:tc>
        <w:tc>
          <w:tcPr>
            <w:tcW w:type="dxa" w:w="2324"/>
            <w:shd w:val="clear" w:fill="2E75B6"/>
          </w:tcPr>
          <w:p>
            <w:pPr>
              <w:spacing w:after="40"/>
              <w:jc w:val="center"/>
            </w:pPr>
            <w:r/>
            <w:r>
              <w:rPr>
                <w:rFonts w:ascii="ＭＳ ゴシック" w:hAnsi="ＭＳ ゴシック" w:eastAsia="ＭＳ ゴシック"/>
                <w:b/>
                <w:color w:val="FFFFFF"/>
                <w:sz w:val="18"/>
              </w:rPr>
              <w:t>判定</w:t>
            </w:r>
          </w:p>
        </w:tc>
      </w:tr>
      <w:tr>
        <w:tc>
          <w:tcPr>
            <w:tcW w:type="dxa" w:w="1247"/>
          </w:tcPr>
          <w:p>
            <w:pPr>
              <w:spacing w:after="40"/>
              <w:jc w:val="left"/>
            </w:pPr>
            <w:r/>
            <w:r>
              <w:rPr>
                <w:rFonts w:ascii="ＭＳ 明朝" w:hAnsi="ＭＳ 明朝" w:eastAsia="ＭＳ 明朝"/>
                <w:b w:val="0"/>
                <w:sz w:val="18"/>
              </w:rPr>
              <w:t>100mm</w:t>
            </w:r>
          </w:p>
        </w:tc>
        <w:tc>
          <w:tcPr>
            <w:tcW w:type="dxa" w:w="1928"/>
          </w:tcPr>
          <w:p>
            <w:pPr>
              <w:spacing w:after="40"/>
              <w:jc w:val="center"/>
            </w:pPr>
            <w:r/>
            <w:r>
              <w:rPr>
                <w:rFonts w:ascii="ＭＳ 明朝" w:hAnsi="ＭＳ 明朝" w:eastAsia="ＭＳ 明朝"/>
                <w:b w:val="0"/>
                <w:sz w:val="18"/>
              </w:rPr>
              <w:t>1社×月8,000㎥</w:t>
            </w:r>
          </w:p>
        </w:tc>
        <w:tc>
          <w:tcPr>
            <w:tcW w:type="dxa" w:w="1587"/>
          </w:tcPr>
          <w:p>
            <w:pPr>
              <w:spacing w:after="40"/>
              <w:jc w:val="right"/>
            </w:pPr>
            <w:r/>
            <w:r>
              <w:rPr>
                <w:rFonts w:ascii="ＭＳ 明朝" w:hAnsi="ＭＳ 明朝" w:eastAsia="ＭＳ 明朝"/>
                <w:b w:val="0"/>
                <w:sz w:val="18"/>
              </w:rPr>
              <w:t>96,000㎥</w:t>
            </w:r>
          </w:p>
        </w:tc>
        <w:tc>
          <w:tcPr>
            <w:tcW w:type="dxa" w:w="2268"/>
          </w:tcPr>
          <w:p>
            <w:pPr>
              <w:spacing w:after="40"/>
              <w:jc w:val="right"/>
            </w:pPr>
            <w:r/>
            <w:r>
              <w:rPr>
                <w:rFonts w:ascii="ＭＳ 明朝" w:hAnsi="ＭＳ 明朝" w:eastAsia="ＭＳ 明朝"/>
                <w:b w:val="0"/>
                <w:sz w:val="18"/>
              </w:rPr>
              <w:t>16,818㎥</w:t>
            </w:r>
          </w:p>
        </w:tc>
        <w:tc>
          <w:tcPr>
            <w:tcW w:type="dxa" w:w="2324"/>
          </w:tcPr>
          <w:p>
            <w:pPr>
              <w:spacing w:after="40"/>
              <w:jc w:val="center"/>
            </w:pPr>
            <w:r/>
            <w:r>
              <w:rPr>
                <w:rFonts w:ascii="ＭＳ 明朝" w:hAnsi="ＭＳ 明朝" w:eastAsia="ＭＳ 明朝"/>
                <w:b w:val="0"/>
                <w:sz w:val="18"/>
              </w:rPr>
              <w:t>1社の仮定が口径全体の約5.71倍</w:t>
            </w:r>
          </w:p>
        </w:tc>
      </w:tr>
      <w:tr>
        <w:tc>
          <w:tcPr>
            <w:tcW w:type="dxa" w:w="1247"/>
          </w:tcPr>
          <w:p>
            <w:pPr>
              <w:spacing w:after="40"/>
              <w:jc w:val="left"/>
            </w:pPr>
            <w:r/>
            <w:r>
              <w:rPr>
                <w:rFonts w:ascii="ＭＳ 明朝" w:hAnsi="ＭＳ 明朝" w:eastAsia="ＭＳ 明朝"/>
                <w:b w:val="0"/>
                <w:sz w:val="18"/>
              </w:rPr>
              <w:t>75mm</w:t>
            </w:r>
          </w:p>
        </w:tc>
        <w:tc>
          <w:tcPr>
            <w:tcW w:type="dxa" w:w="1928"/>
          </w:tcPr>
          <w:p>
            <w:pPr>
              <w:spacing w:after="40"/>
              <w:jc w:val="center"/>
            </w:pPr>
            <w:r/>
            <w:r>
              <w:rPr>
                <w:rFonts w:ascii="ＭＳ 明朝" w:hAnsi="ＭＳ 明朝" w:eastAsia="ＭＳ 明朝"/>
                <w:b w:val="0"/>
                <w:sz w:val="18"/>
              </w:rPr>
              <w:t>5社×月3,000㎥</w:t>
            </w:r>
          </w:p>
        </w:tc>
        <w:tc>
          <w:tcPr>
            <w:tcW w:type="dxa" w:w="1587"/>
          </w:tcPr>
          <w:p>
            <w:pPr>
              <w:spacing w:after="40"/>
              <w:jc w:val="right"/>
            </w:pPr>
            <w:r/>
            <w:r>
              <w:rPr>
                <w:rFonts w:ascii="ＭＳ 明朝" w:hAnsi="ＭＳ 明朝" w:eastAsia="ＭＳ 明朝"/>
                <w:b w:val="0"/>
                <w:sz w:val="18"/>
              </w:rPr>
              <w:t>180,000㎥</w:t>
            </w:r>
          </w:p>
        </w:tc>
        <w:tc>
          <w:tcPr>
            <w:tcW w:type="dxa" w:w="2268"/>
          </w:tcPr>
          <w:p>
            <w:pPr>
              <w:spacing w:after="40"/>
              <w:jc w:val="right"/>
            </w:pPr>
            <w:r/>
            <w:r>
              <w:rPr>
                <w:rFonts w:ascii="ＭＳ 明朝" w:hAnsi="ＭＳ 明朝" w:eastAsia="ＭＳ 明朝"/>
                <w:b w:val="0"/>
                <w:sz w:val="18"/>
              </w:rPr>
              <w:t>151,940㎥</w:t>
            </w:r>
          </w:p>
        </w:tc>
        <w:tc>
          <w:tcPr>
            <w:tcW w:type="dxa" w:w="2324"/>
          </w:tcPr>
          <w:p>
            <w:pPr>
              <w:spacing w:after="40"/>
              <w:jc w:val="center"/>
            </w:pPr>
            <w:r/>
            <w:r>
              <w:rPr>
                <w:rFonts w:ascii="ＭＳ 明朝" w:hAnsi="ＭＳ 明朝" w:eastAsia="ＭＳ 明朝"/>
                <w:b w:val="0"/>
                <w:sz w:val="18"/>
              </w:rPr>
              <w:t>5社の仮定が口径全体を超過</w:t>
            </w:r>
          </w:p>
        </w:tc>
      </w:tr>
    </w:tbl>
    <w:p>
      <w:pPr>
        <w:spacing w:after="200" w:line="276" w:lineRule="auto"/>
      </w:pPr>
      <w:r>
        <w:rPr>
          <w:rFonts w:ascii="ＭＳ 明朝" w:hAnsi="ＭＳ 明朝" w:eastAsia="ＭＳ 明朝"/>
          <w:b w:val="0"/>
          <w:color w:val="595959"/>
          <w:sz w:val="17"/>
        </w:rPr>
        <w:t>※ さらに、全体収入を作る水量ゾーン別試算の501㎥超の年水量は約233千㎥であるのに対し、19社の仮定のうち月500㎥以上の水量だけで年372千㎥となる。同じ母集団に収まらないため、全体収入から特例減収を差し引く計算は成り立たない。</w:t>
      </w:r>
    </w:p>
    <w:p>
      <w:pPr>
        <w:spacing w:after="120" w:line="276" w:lineRule="auto"/>
      </w:pPr>
      <w:r>
        <w:rPr>
          <w:rFonts w:ascii="ＭＳ 明朝" w:hAnsi="ＭＳ 明朝" w:eastAsia="ＭＳ 明朝"/>
          <w:b w:val="0"/>
          <w:color w:val="C00000"/>
          <w:sz w:val="21"/>
        </w:rPr>
        <w:t>本報告では、19社の数値を「仮定した条件の下での個別事例」としてのみ掲載し、合計額・減収額・全体の回収割合は算定していない。実使用水量データの取得後に、実在の使用者に対する再計算へ置き換える。</w:t>
      </w:r>
    </w:p>
    <w:p>
      <w:pPr>
        <w:spacing w:before="240" w:after="100"/>
      </w:pPr>
      <w:r>
        <w:rPr>
          <w:rFonts w:ascii="ＭＳ ゴシック" w:hAnsi="ＭＳ ゴシック" w:eastAsia="ＭＳ ゴシック"/>
          <w:b/>
          <w:color w:val="2E75B6"/>
          <w:sz w:val="23"/>
        </w:rPr>
        <w:t>5-8　用語の定義</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041"/>
            <w:shd w:val="clear" w:fill="2E75B6"/>
          </w:tcPr>
          <w:p>
            <w:pPr>
              <w:spacing w:after="40"/>
              <w:jc w:val="center"/>
            </w:pPr>
            <w:r/>
            <w:r>
              <w:rPr>
                <w:rFonts w:ascii="ＭＳ ゴシック" w:hAnsi="ＭＳ ゴシック" w:eastAsia="ＭＳ ゴシック"/>
                <w:b/>
                <w:color w:val="FFFFFF"/>
                <w:sz w:val="18"/>
              </w:rPr>
              <w:t>用語</w:t>
            </w:r>
          </w:p>
        </w:tc>
        <w:tc>
          <w:tcPr>
            <w:tcW w:type="dxa" w:w="5272"/>
            <w:shd w:val="clear" w:fill="2E75B6"/>
          </w:tcPr>
          <w:p>
            <w:pPr>
              <w:spacing w:after="40"/>
              <w:jc w:val="center"/>
            </w:pPr>
            <w:r/>
            <w:r>
              <w:rPr>
                <w:rFonts w:ascii="ＭＳ ゴシック" w:hAnsi="ＭＳ ゴシック" w:eastAsia="ＭＳ ゴシック"/>
                <w:b/>
                <w:color w:val="FFFFFF"/>
                <w:sz w:val="18"/>
              </w:rPr>
              <w:t>定義</w:t>
            </w:r>
          </w:p>
        </w:tc>
        <w:tc>
          <w:tcPr>
            <w:tcW w:type="dxa" w:w="2041"/>
            <w:shd w:val="clear" w:fill="2E75B6"/>
          </w:tcPr>
          <w:p>
            <w:pPr>
              <w:spacing w:after="40"/>
              <w:jc w:val="center"/>
            </w:pPr>
            <w:r/>
            <w:r>
              <w:rPr>
                <w:rFonts w:ascii="ＭＳ ゴシック" w:hAnsi="ＭＳ ゴシック" w:eastAsia="ＭＳ ゴシック"/>
                <w:b/>
                <w:color w:val="FFFFFF"/>
                <w:sz w:val="18"/>
              </w:rPr>
              <w:t>使用箇所</w:t>
            </w:r>
          </w:p>
        </w:tc>
      </w:tr>
      <w:tr>
        <w:tc>
          <w:tcPr>
            <w:tcW w:type="dxa" w:w="2041"/>
          </w:tcPr>
          <w:p>
            <w:pPr>
              <w:spacing w:after="40"/>
              <w:jc w:val="left"/>
            </w:pPr>
            <w:r/>
            <w:r>
              <w:rPr>
                <w:rFonts w:ascii="ＭＳ 明朝" w:hAnsi="ＭＳ 明朝" w:eastAsia="ＭＳ 明朝"/>
                <w:b w:val="0"/>
                <w:sz w:val="18"/>
              </w:rPr>
              <w:t>料金回収率（決算）</w:t>
            </w:r>
          </w:p>
        </w:tc>
        <w:tc>
          <w:tcPr>
            <w:tcW w:type="dxa" w:w="5272"/>
          </w:tcPr>
          <w:p>
            <w:pPr>
              <w:spacing w:after="40"/>
              <w:jc w:val="center"/>
            </w:pPr>
            <w:r/>
            <w:r>
              <w:rPr>
                <w:rFonts w:ascii="ＭＳ 明朝" w:hAnsi="ＭＳ 明朝" w:eastAsia="ＭＳ 明朝"/>
                <w:b w:val="0"/>
                <w:sz w:val="18"/>
              </w:rPr>
              <w:t>給水収益÷（総費用−長期前受金戻入益）。経営比較分析表の算式による</w:t>
            </w:r>
          </w:p>
        </w:tc>
        <w:tc>
          <w:tcPr>
            <w:tcW w:type="dxa" w:w="2041"/>
          </w:tcPr>
          <w:p>
            <w:pPr>
              <w:spacing w:after="40"/>
              <w:jc w:val="center"/>
            </w:pPr>
            <w:r/>
            <w:r>
              <w:rPr>
                <w:rFonts w:ascii="ＭＳ 明朝" w:hAnsi="ＭＳ 明朝" w:eastAsia="ＭＳ 明朝"/>
                <w:b w:val="0"/>
                <w:sz w:val="18"/>
              </w:rPr>
              <w:t>第3章</w:t>
            </w:r>
          </w:p>
        </w:tc>
      </w:tr>
      <w:tr>
        <w:tc>
          <w:tcPr>
            <w:tcW w:type="dxa" w:w="2041"/>
          </w:tcPr>
          <w:p>
            <w:pPr>
              <w:spacing w:after="40"/>
              <w:jc w:val="left"/>
            </w:pPr>
            <w:r/>
            <w:r>
              <w:rPr>
                <w:rFonts w:ascii="ＭＳ 明朝" w:hAnsi="ＭＳ 明朝" w:eastAsia="ＭＳ 明朝"/>
                <w:b/>
                <w:sz w:val="18"/>
              </w:rPr>
              <w:t>総括原価回収割合</w:t>
            </w:r>
          </w:p>
        </w:tc>
        <w:tc>
          <w:tcPr>
            <w:tcW w:type="dxa" w:w="5272"/>
          </w:tcPr>
          <w:p>
            <w:pPr>
              <w:spacing w:after="40"/>
              <w:jc w:val="center"/>
            </w:pPr>
            <w:r/>
            <w:r>
              <w:rPr>
                <w:rFonts w:ascii="ＭＳ 明朝" w:hAnsi="ＭＳ 明朝" w:eastAsia="ＭＳ 明朝"/>
                <w:b/>
                <w:sz w:val="18"/>
              </w:rPr>
              <w:t>供給単価÷給水原価。給水原価は資産維持費を加算し基準内繰入金を控除した本報告独自の総括原価による</w:t>
            </w:r>
          </w:p>
        </w:tc>
        <w:tc>
          <w:tcPr>
            <w:tcW w:type="dxa" w:w="2041"/>
          </w:tcPr>
          <w:p>
            <w:pPr>
              <w:spacing w:after="40"/>
              <w:jc w:val="center"/>
            </w:pPr>
            <w:r/>
            <w:r>
              <w:rPr>
                <w:rFonts w:ascii="ＭＳ 明朝" w:hAnsi="ＭＳ 明朝" w:eastAsia="ＭＳ 明朝"/>
                <w:b/>
                <w:sz w:val="18"/>
              </w:rPr>
              <w:t>第4章以降</w:t>
            </w:r>
          </w:p>
        </w:tc>
      </w:tr>
      <w:tr>
        <w:tc>
          <w:tcPr>
            <w:tcW w:type="dxa" w:w="2041"/>
          </w:tcPr>
          <w:p>
            <w:pPr>
              <w:spacing w:after="40"/>
              <w:jc w:val="left"/>
            </w:pPr>
            <w:r/>
            <w:r>
              <w:rPr>
                <w:rFonts w:ascii="ＭＳ 明朝" w:hAnsi="ＭＳ 明朝" w:eastAsia="ＭＳ 明朝"/>
                <w:b w:val="0"/>
                <w:sz w:val="18"/>
              </w:rPr>
              <w:t>必要改定率</w:t>
            </w:r>
          </w:p>
        </w:tc>
        <w:tc>
          <w:tcPr>
            <w:tcW w:type="dxa" w:w="5272"/>
          </w:tcPr>
          <w:p>
            <w:pPr>
              <w:spacing w:after="40"/>
              <w:jc w:val="center"/>
            </w:pPr>
            <w:r/>
            <w:r>
              <w:rPr>
                <w:rFonts w:ascii="ＭＳ 明朝" w:hAnsi="ＭＳ 明朝" w:eastAsia="ＭＳ 明朝"/>
                <w:b w:val="0"/>
                <w:sz w:val="18"/>
              </w:rPr>
              <w:t>総括原価÷現行料金収入。料金で総括原価を全額回収する場合の倍率</w:t>
            </w:r>
          </w:p>
        </w:tc>
        <w:tc>
          <w:tcPr>
            <w:tcW w:type="dxa" w:w="2041"/>
          </w:tcPr>
          <w:p>
            <w:pPr>
              <w:spacing w:after="40"/>
              <w:jc w:val="center"/>
            </w:pPr>
            <w:r/>
            <w:r>
              <w:rPr>
                <w:rFonts w:ascii="ＭＳ 明朝" w:hAnsi="ＭＳ 明朝" w:eastAsia="ＭＳ 明朝"/>
                <w:b w:val="0"/>
                <w:sz w:val="18"/>
              </w:rPr>
              <w:t>第4章以降</w:t>
            </w:r>
          </w:p>
        </w:tc>
      </w:tr>
      <w:tr>
        <w:tc>
          <w:tcPr>
            <w:tcW w:type="dxa" w:w="2041"/>
          </w:tcPr>
          <w:p>
            <w:pPr>
              <w:spacing w:after="40"/>
              <w:jc w:val="left"/>
            </w:pPr>
            <w:r/>
            <w:r>
              <w:rPr>
                <w:rFonts w:ascii="ＭＳ 明朝" w:hAnsi="ＭＳ 明朝" w:eastAsia="ＭＳ 明朝"/>
                <w:b w:val="0"/>
                <w:sz w:val="18"/>
              </w:rPr>
              <w:t>料金不足額（定義③）</w:t>
            </w:r>
          </w:p>
        </w:tc>
        <w:tc>
          <w:tcPr>
            <w:tcW w:type="dxa" w:w="5272"/>
          </w:tcPr>
          <w:p>
            <w:pPr>
              <w:spacing w:after="40"/>
              <w:jc w:val="center"/>
            </w:pPr>
            <w:r/>
            <w:r>
              <w:rPr>
                <w:rFonts w:ascii="ＭＳ 明朝" w:hAnsi="ＭＳ 明朝" w:eastAsia="ＭＳ 明朝"/>
                <w:b w:val="0"/>
                <w:sz w:val="18"/>
              </w:rPr>
              <w:t>料金収入＋基準内繰入金−（維持管理費＋支払利息＋資産維持費）。資産維持費は将来投資に向けた内部留保であり当年度の現金支出ではないため、実際の資金収支とは一致しない</w:t>
            </w:r>
          </w:p>
        </w:tc>
        <w:tc>
          <w:tcPr>
            <w:tcW w:type="dxa" w:w="2041"/>
          </w:tcPr>
          <w:p>
            <w:pPr>
              <w:spacing w:after="40"/>
              <w:jc w:val="center"/>
            </w:pPr>
            <w:r/>
            <w:r>
              <w:rPr>
                <w:rFonts w:ascii="ＭＳ 明朝" w:hAnsi="ＭＳ 明朝" w:eastAsia="ＭＳ 明朝"/>
                <w:b w:val="0"/>
                <w:sz w:val="18"/>
              </w:rPr>
              <w:t>第7章</w:t>
            </w:r>
          </w:p>
        </w:tc>
      </w:tr>
    </w:tbl>
    <w:p>
      <w:pPr>
        <w:spacing w:after="200" w:line="276" w:lineRule="auto"/>
      </w:pPr>
      <w:r>
        <w:rPr>
          <w:rFonts w:ascii="ＭＳ 明朝" w:hAnsi="ＭＳ 明朝" w:eastAsia="ＭＳ 明朝"/>
          <w:b w:val="0"/>
          <w:color w:val="595959"/>
          <w:sz w:val="17"/>
        </w:rPr>
        <w:t>※ 一般に公表される経営比較分析表の給水原価には、本報告のような資産維持費の加算は行わない。同名の指標でも分母が異なるため、決算資料との対比には注意を要する。</w:t>
      </w:r>
    </w:p>
    <w:p>
      <w:pPr>
        <w:spacing w:before="240" w:after="100"/>
      </w:pPr>
      <w:r>
        <w:rPr>
          <w:rFonts w:ascii="ＭＳ ゴシック" w:hAnsi="ＭＳ ゴシック" w:eastAsia="ＭＳ ゴシック"/>
          <w:b/>
          <w:color w:val="2E75B6"/>
          <w:sz w:val="23"/>
        </w:rPr>
        <w:t>5-9　主な条件の感応度</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8"/>
              </w:rPr>
              <w:t>条件</w:t>
            </w:r>
          </w:p>
        </w:tc>
        <w:tc>
          <w:tcPr>
            <w:tcW w:type="dxa" w:w="2041"/>
            <w:shd w:val="clear" w:fill="2E75B6"/>
          </w:tcPr>
          <w:p>
            <w:pPr>
              <w:spacing w:after="40"/>
              <w:jc w:val="center"/>
            </w:pPr>
            <w:r/>
            <w:r>
              <w:rPr>
                <w:rFonts w:ascii="ＭＳ ゴシック" w:hAnsi="ＭＳ ゴシック" w:eastAsia="ＭＳ ゴシック"/>
                <w:b/>
                <w:color w:val="FFFFFF"/>
                <w:sz w:val="18"/>
              </w:rPr>
              <w:t>変動</w:t>
            </w:r>
          </w:p>
        </w:tc>
        <w:tc>
          <w:tcPr>
            <w:tcW w:type="dxa" w:w="2494"/>
            <w:shd w:val="clear" w:fill="2E75B6"/>
          </w:tcPr>
          <w:p>
            <w:pPr>
              <w:spacing w:after="40"/>
              <w:jc w:val="center"/>
            </w:pPr>
            <w:r/>
            <w:r>
              <w:rPr>
                <w:rFonts w:ascii="ＭＳ ゴシック" w:hAnsi="ＭＳ ゴシック" w:eastAsia="ＭＳ ゴシック"/>
                <w:b/>
                <w:color w:val="FFFFFF"/>
                <w:sz w:val="18"/>
              </w:rPr>
              <w:t>総括原価5年計への影響</w:t>
            </w:r>
          </w:p>
        </w:tc>
        <w:tc>
          <w:tcPr>
            <w:tcW w:type="dxa" w:w="2551"/>
            <w:shd w:val="clear" w:fill="2E75B6"/>
          </w:tcPr>
          <w:p>
            <w:pPr>
              <w:spacing w:after="40"/>
              <w:jc w:val="center"/>
            </w:pPr>
            <w:r/>
            <w:r>
              <w:rPr>
                <w:rFonts w:ascii="ＭＳ ゴシック" w:hAnsi="ＭＳ ゴシック" w:eastAsia="ＭＳ ゴシック"/>
                <w:b/>
                <w:color w:val="FFFFFF"/>
                <w:sz w:val="18"/>
              </w:rPr>
              <w:t>必要改定率への影響</w:t>
            </w:r>
          </w:p>
        </w:tc>
      </w:tr>
      <w:tr>
        <w:tc>
          <w:tcPr>
            <w:tcW w:type="dxa" w:w="2268"/>
          </w:tcPr>
          <w:p>
            <w:pPr>
              <w:spacing w:after="40"/>
              <w:jc w:val="left"/>
            </w:pPr>
            <w:r/>
            <w:r>
              <w:rPr>
                <w:rFonts w:ascii="ＭＳ 明朝" w:hAnsi="ＭＳ 明朝" w:eastAsia="ＭＳ 明朝"/>
                <w:b w:val="0"/>
                <w:sz w:val="18"/>
              </w:rPr>
              <w:t>基準内繰入金の控除</w:t>
            </w:r>
          </w:p>
        </w:tc>
        <w:tc>
          <w:tcPr>
            <w:tcW w:type="dxa" w:w="2041"/>
          </w:tcPr>
          <w:p>
            <w:pPr>
              <w:spacing w:after="40"/>
              <w:jc w:val="center"/>
            </w:pPr>
            <w:r/>
            <w:r>
              <w:rPr>
                <w:rFonts w:ascii="ＭＳ 明朝" w:hAnsi="ＭＳ 明朝" w:eastAsia="ＭＳ 明朝"/>
                <w:b w:val="0"/>
                <w:sz w:val="18"/>
              </w:rPr>
              <w:t>控除しない</w:t>
            </w:r>
          </w:p>
        </w:tc>
        <w:tc>
          <w:tcPr>
            <w:tcW w:type="dxa" w:w="2494"/>
          </w:tcPr>
          <w:p>
            <w:pPr>
              <w:spacing w:after="40"/>
              <w:jc w:val="center"/>
            </w:pPr>
            <w:r/>
            <w:r>
              <w:rPr>
                <w:rFonts w:ascii="ＭＳ 明朝" w:hAnsi="ＭＳ 明朝" w:eastAsia="ＭＳ 明朝"/>
                <w:b w:val="0"/>
                <w:sz w:val="18"/>
              </w:rPr>
              <w:t>＋272,997千円</w:t>
            </w:r>
          </w:p>
        </w:tc>
        <w:tc>
          <w:tcPr>
            <w:tcW w:type="dxa" w:w="2551"/>
          </w:tcPr>
          <w:p>
            <w:pPr>
              <w:spacing w:after="40"/>
              <w:jc w:val="center"/>
            </w:pPr>
            <w:r/>
            <w:r>
              <w:rPr>
                <w:rFonts w:ascii="ＭＳ 明朝" w:hAnsi="ＭＳ 明朝" w:eastAsia="ＭＳ 明朝"/>
                <w:b w:val="0"/>
                <w:sz w:val="18"/>
              </w:rPr>
              <w:t>＋0.46倍（1.99→2.45倍）</w:t>
            </w:r>
          </w:p>
        </w:tc>
      </w:tr>
      <w:tr>
        <w:tc>
          <w:tcPr>
            <w:tcW w:type="dxa" w:w="2268"/>
          </w:tcPr>
          <w:p>
            <w:pPr>
              <w:spacing w:after="40"/>
              <w:jc w:val="left"/>
            </w:pPr>
            <w:r/>
            <w:r>
              <w:rPr>
                <w:rFonts w:ascii="ＭＳ 明朝" w:hAnsi="ＭＳ 明朝" w:eastAsia="ＭＳ 明朝"/>
                <w:b w:val="0"/>
                <w:sz w:val="18"/>
              </w:rPr>
              <w:t>償却年数（機械・電気設備）</w:t>
            </w:r>
          </w:p>
        </w:tc>
        <w:tc>
          <w:tcPr>
            <w:tcW w:type="dxa" w:w="2041"/>
          </w:tcPr>
          <w:p>
            <w:pPr>
              <w:spacing w:after="40"/>
              <w:jc w:val="center"/>
            </w:pPr>
            <w:r/>
            <w:r>
              <w:rPr>
                <w:rFonts w:ascii="ＭＳ 明朝" w:hAnsi="ＭＳ 明朝" w:eastAsia="ＭＳ 明朝"/>
                <w:b w:val="0"/>
                <w:sz w:val="18"/>
              </w:rPr>
              <w:t>38年→20年</w:t>
            </w:r>
          </w:p>
        </w:tc>
        <w:tc>
          <w:tcPr>
            <w:tcW w:type="dxa" w:w="2494"/>
          </w:tcPr>
          <w:p>
            <w:pPr>
              <w:spacing w:after="40"/>
              <w:jc w:val="center"/>
            </w:pPr>
            <w:r/>
            <w:r>
              <w:rPr>
                <w:rFonts w:ascii="ＭＳ 明朝" w:hAnsi="ＭＳ 明朝" w:eastAsia="ＭＳ 明朝"/>
                <w:b w:val="0"/>
                <w:sz w:val="18"/>
              </w:rPr>
              <w:t>増加</w:t>
            </w:r>
          </w:p>
        </w:tc>
        <w:tc>
          <w:tcPr>
            <w:tcW w:type="dxa" w:w="2551"/>
          </w:tcPr>
          <w:p>
            <w:pPr>
              <w:spacing w:after="40"/>
              <w:jc w:val="center"/>
            </w:pPr>
            <w:r/>
            <w:r>
              <w:rPr>
                <w:rFonts w:ascii="ＭＳ 明朝" w:hAnsi="ＭＳ 明朝" w:eastAsia="ＭＳ 明朝"/>
                <w:b w:val="0"/>
                <w:sz w:val="18"/>
              </w:rPr>
              <w:t>＋0.12倍程度</w:t>
            </w:r>
          </w:p>
        </w:tc>
      </w:tr>
      <w:tr>
        <w:tc>
          <w:tcPr>
            <w:tcW w:type="dxa" w:w="2268"/>
          </w:tcPr>
          <w:p>
            <w:pPr>
              <w:spacing w:after="40"/>
              <w:jc w:val="left"/>
            </w:pPr>
            <w:r/>
            <w:r>
              <w:rPr>
                <w:rFonts w:ascii="ＭＳ 明朝" w:hAnsi="ＭＳ 明朝" w:eastAsia="ＭＳ 明朝"/>
                <w:b w:val="0"/>
                <w:sz w:val="18"/>
              </w:rPr>
              <w:t>借入利率（新規債）</w:t>
            </w:r>
          </w:p>
        </w:tc>
        <w:tc>
          <w:tcPr>
            <w:tcW w:type="dxa" w:w="2041"/>
          </w:tcPr>
          <w:p>
            <w:pPr>
              <w:spacing w:after="40"/>
              <w:jc w:val="center"/>
            </w:pPr>
            <w:r/>
            <w:r>
              <w:rPr>
                <w:rFonts w:ascii="ＭＳ 明朝" w:hAnsi="ＭＳ 明朝" w:eastAsia="ＭＳ 明朝"/>
                <w:b w:val="0"/>
                <w:sz w:val="18"/>
              </w:rPr>
              <w:t>2.0〜3.0％</w:t>
            </w:r>
          </w:p>
        </w:tc>
        <w:tc>
          <w:tcPr>
            <w:tcW w:type="dxa" w:w="2494"/>
          </w:tcPr>
          <w:p>
            <w:pPr>
              <w:spacing w:after="40"/>
              <w:jc w:val="center"/>
            </w:pPr>
            <w:r/>
            <w:r>
              <w:rPr>
                <w:rFonts w:ascii="ＭＳ 明朝" w:hAnsi="ＭＳ 明朝" w:eastAsia="ＭＳ 明朝"/>
                <w:b w:val="0"/>
                <w:sz w:val="18"/>
              </w:rPr>
              <w:t>±約25,000千円</w:t>
            </w:r>
          </w:p>
        </w:tc>
        <w:tc>
          <w:tcPr>
            <w:tcW w:type="dxa" w:w="2551"/>
          </w:tcPr>
          <w:p>
            <w:pPr>
              <w:spacing w:after="40"/>
              <w:jc w:val="center"/>
            </w:pPr>
            <w:r/>
            <w:r>
              <w:rPr>
                <w:rFonts w:ascii="ＭＳ 明朝" w:hAnsi="ＭＳ 明朝" w:eastAsia="ＭＳ 明朝"/>
                <w:b w:val="0"/>
                <w:sz w:val="18"/>
              </w:rPr>
              <w:t>±0.05倍程度</w:t>
            </w:r>
          </w:p>
        </w:tc>
      </w:tr>
      <w:tr>
        <w:tc>
          <w:tcPr>
            <w:tcW w:type="dxa" w:w="2268"/>
          </w:tcPr>
          <w:p>
            <w:pPr>
              <w:spacing w:after="40"/>
              <w:jc w:val="left"/>
            </w:pPr>
            <w:r/>
            <w:r>
              <w:rPr>
                <w:rFonts w:ascii="ＭＳ 明朝" w:hAnsi="ＭＳ 明朝" w:eastAsia="ＭＳ 明朝"/>
                <w:b w:val="0"/>
                <w:sz w:val="18"/>
              </w:rPr>
              <w:t>資産維持費の対象資産</w:t>
            </w:r>
          </w:p>
        </w:tc>
        <w:tc>
          <w:tcPr>
            <w:tcW w:type="dxa" w:w="2041"/>
          </w:tcPr>
          <w:p>
            <w:pPr>
              <w:spacing w:after="40"/>
              <w:jc w:val="center"/>
            </w:pPr>
            <w:r/>
            <w:r>
              <w:rPr>
                <w:rFonts w:ascii="ＭＳ 明朝" w:hAnsi="ＭＳ 明朝" w:eastAsia="ＭＳ 明朝"/>
                <w:b w:val="0"/>
                <w:sz w:val="18"/>
              </w:rPr>
              <w:t>±100,000千円</w:t>
            </w:r>
          </w:p>
        </w:tc>
        <w:tc>
          <w:tcPr>
            <w:tcW w:type="dxa" w:w="2494"/>
          </w:tcPr>
          <w:p>
            <w:pPr>
              <w:spacing w:after="40"/>
              <w:jc w:val="center"/>
            </w:pPr>
            <w:r/>
            <w:r>
              <w:rPr>
                <w:rFonts w:ascii="ＭＳ 明朝" w:hAnsi="ＭＳ 明朝" w:eastAsia="ＭＳ 明朝"/>
                <w:b w:val="0"/>
                <w:sz w:val="18"/>
              </w:rPr>
              <w:t>±15,000千円</w:t>
            </w:r>
          </w:p>
        </w:tc>
        <w:tc>
          <w:tcPr>
            <w:tcW w:type="dxa" w:w="2551"/>
          </w:tcPr>
          <w:p>
            <w:pPr>
              <w:spacing w:after="40"/>
              <w:jc w:val="center"/>
            </w:pPr>
            <w:r/>
            <w:r>
              <w:rPr>
                <w:rFonts w:ascii="ＭＳ 明朝" w:hAnsi="ＭＳ 明朝" w:eastAsia="ＭＳ 明朝"/>
                <w:b w:val="0"/>
                <w:sz w:val="18"/>
              </w:rPr>
              <w:t>±0.025倍</w:t>
            </w:r>
          </w:p>
        </w:tc>
      </w:tr>
      <w:tr>
        <w:tc>
          <w:tcPr>
            <w:tcW w:type="dxa" w:w="2268"/>
          </w:tcPr>
          <w:p>
            <w:pPr>
              <w:spacing w:after="40"/>
              <w:jc w:val="left"/>
            </w:pPr>
            <w:r/>
            <w:r>
              <w:rPr>
                <w:rFonts w:ascii="ＭＳ 明朝" w:hAnsi="ＭＳ 明朝" w:eastAsia="ＭＳ 明朝"/>
                <w:b w:val="0"/>
                <w:sz w:val="18"/>
              </w:rPr>
              <w:t>減価償却費の接続</w:t>
            </w:r>
          </w:p>
        </w:tc>
        <w:tc>
          <w:tcPr>
            <w:tcW w:type="dxa" w:w="2041"/>
          </w:tcPr>
          <w:p>
            <w:pPr>
              <w:spacing w:after="40"/>
              <w:jc w:val="center"/>
            </w:pPr>
            <w:r/>
            <w:r>
              <w:rPr>
                <w:rFonts w:ascii="ＭＳ 明朝" w:hAnsi="ＭＳ 明朝" w:eastAsia="ＭＳ 明朝"/>
                <w:b w:val="0"/>
                <w:sz w:val="18"/>
              </w:rPr>
              <w:t>本報告で修正済（＋41,318千円）</w:t>
            </w:r>
          </w:p>
        </w:tc>
        <w:tc>
          <w:tcPr>
            <w:tcW w:type="dxa" w:w="2494"/>
          </w:tcPr>
          <w:p>
            <w:pPr>
              <w:spacing w:after="40"/>
              <w:jc w:val="center"/>
            </w:pPr>
            <w:r/>
            <w:r>
              <w:rPr>
                <w:rFonts w:ascii="ＭＳ 明朝" w:hAnsi="ＭＳ 明朝" w:eastAsia="ＭＳ 明朝"/>
                <w:b w:val="0"/>
                <w:sz w:val="18"/>
              </w:rPr>
              <w:t>＋41,318千円</w:t>
            </w:r>
          </w:p>
        </w:tc>
        <w:tc>
          <w:tcPr>
            <w:tcW w:type="dxa" w:w="2551"/>
          </w:tcPr>
          <w:p>
            <w:pPr>
              <w:spacing w:after="40"/>
              <w:jc w:val="center"/>
            </w:pPr>
            <w:r/>
            <w:r>
              <w:rPr>
                <w:rFonts w:ascii="ＭＳ 明朝" w:hAnsi="ＭＳ 明朝" w:eastAsia="ＭＳ 明朝"/>
                <w:b w:val="0"/>
                <w:sz w:val="18"/>
              </w:rPr>
              <w:t>＋0.07倍</w:t>
            </w:r>
          </w:p>
        </w:tc>
      </w:tr>
    </w:tbl>
    <w:p>
      <w:pPr>
        <w:spacing w:after="200" w:line="276" w:lineRule="auto"/>
      </w:pPr>
      <w:r>
        <w:rPr>
          <w:rFonts w:ascii="ＭＳ 明朝" w:hAnsi="ＭＳ 明朝" w:eastAsia="ＭＳ 明朝"/>
          <w:b w:val="0"/>
          <w:color w:val="595959"/>
          <w:sz w:val="17"/>
        </w:rPr>
        <w:t>※ 各行は他の条件を固定した場合の単独の感応度である。複数の条件が同時に動く場合は単純な加算にはならない。</w:t>
      </w:r>
    </w:p>
    <w:p>
      <w:pPr>
        <w:spacing w:before="240" w:after="100"/>
      </w:pPr>
      <w:r>
        <w:rPr>
          <w:rFonts w:ascii="ＭＳ ゴシック" w:hAnsi="ＭＳ ゴシック" w:eastAsia="ＭＳ ゴシック"/>
          <w:b/>
          <w:color w:val="2E75B6"/>
          <w:sz w:val="23"/>
        </w:rPr>
        <w:t>5-10　令和8年度の特殊要因（基本料金等の免除）</w:t>
      </w:r>
    </w:p>
    <w:p>
      <w:pPr>
        <w:spacing w:after="120" w:line="276" w:lineRule="auto"/>
      </w:pPr>
      <w:r>
        <w:rPr>
          <w:rFonts w:ascii="ＭＳ 明朝" w:hAnsi="ＭＳ 明朝" w:eastAsia="ＭＳ 明朝"/>
          <w:b w:val="0"/>
          <w:sz w:val="21"/>
        </w:rPr>
        <w:t>令和8年4月から6月までの請求分について、官公庁等を除き、上水道の基本料金とメーター使用料を免除する措置がとられているとの情報を得ている。財源は国の物価高騰対応重点支援地方創生臨時交付金とされる。当方では原典を確認できていないため、町に確認のうえ最終報告で反映する。</w:t>
      </w:r>
    </w:p>
    <w:p>
      <w:pPr>
        <w:spacing w:after="80" w:line="276" w:lineRule="auto"/>
      </w:pPr>
      <w:r>
        <w:rPr>
          <w:rFonts w:ascii="ＭＳ 明朝" w:hAnsi="ＭＳ 明朝" w:eastAsia="ＭＳ 明朝"/>
          <w:b w:val="0"/>
          <w:sz w:val="21"/>
        </w:rPr>
        <w:t>本報告の令和8〜12年度の給水収益590,845千円は、経営戦略の財政シミュレーションの見込額をそのまま用いており、この免除による調定減と、交付金等による補填収入を織り込んでいない。次の点を分けて整理する必要がある。</w:t>
      </w:r>
    </w:p>
    <w:p>
      <w:pPr>
        <w:pStyle w:val="ListBullet"/>
        <w:spacing w:after="60" w:line="269" w:lineRule="auto"/>
      </w:pPr>
      <w:r>
        <w:rPr>
          <w:rFonts w:ascii="ＭＳ 明朝" w:hAnsi="ＭＳ 明朝" w:eastAsia="ＭＳ 明朝"/>
          <w:sz w:val="21"/>
        </w:rPr>
        <w:t>免除による料金調定の減少額（基本料金・メーター使用料の別、対象件数）</w:t>
      </w:r>
    </w:p>
    <w:p>
      <w:pPr>
        <w:pStyle w:val="ListBullet"/>
        <w:spacing w:after="60" w:line="269" w:lineRule="auto"/>
      </w:pPr>
      <w:r>
        <w:rPr>
          <w:rFonts w:ascii="ＭＳ 明朝" w:hAnsi="ＭＳ 明朝" w:eastAsia="ＭＳ 明朝"/>
          <w:sz w:val="21"/>
        </w:rPr>
        <w:t>交付金等による補填収入の額と、水道事業会計への繰入の有無・科目</w:t>
      </w:r>
    </w:p>
    <w:p>
      <w:pPr>
        <w:pStyle w:val="ListBullet"/>
        <w:spacing w:after="60" w:line="269" w:lineRule="auto"/>
      </w:pPr>
      <w:r>
        <w:rPr>
          <w:rFonts w:ascii="ＭＳ 明朝" w:hAnsi="ＭＳ 明朝" w:eastAsia="ＭＳ 明朝"/>
          <w:sz w:val="21"/>
        </w:rPr>
        <w:t>一般会計繰入金との関係（基準内・基準外のいずれに整理されるか）</w:t>
      </w:r>
    </w:p>
    <w:p>
      <w:pPr>
        <w:pStyle w:val="ListBullet"/>
        <w:spacing w:after="60" w:line="269" w:lineRule="auto"/>
      </w:pPr>
      <w:r>
        <w:rPr>
          <w:rFonts w:ascii="ＭＳ 明朝" w:hAnsi="ＭＳ 明朝" w:eastAsia="ＭＳ 明朝"/>
          <w:sz w:val="21"/>
        </w:rPr>
        <w:t>税区分（免除分の消費税の扱い）</w:t>
      </w:r>
    </w:p>
    <w:p>
      <w:pPr>
        <w:pStyle w:val="ListBullet"/>
        <w:spacing w:after="60" w:line="269" w:lineRule="auto"/>
      </w:pPr>
      <w:r>
        <w:rPr>
          <w:rFonts w:ascii="ＭＳ 明朝" w:hAnsi="ＭＳ 明朝" w:eastAsia="ＭＳ 明朝"/>
          <w:sz w:val="21"/>
        </w:rPr>
        <w:t>令和8年度の料金収入見込み121,539千円との差異</w:t>
      </w:r>
    </w:p>
    <w:p>
      <w:pPr>
        <w:spacing w:after="120" w:line="276" w:lineRule="auto"/>
      </w:pPr>
      <w:r>
        <w:rPr>
          <w:rFonts w:ascii="ＭＳ 明朝" w:hAnsi="ＭＳ 明朝" w:eastAsia="ＭＳ 明朝"/>
          <w:b w:val="0"/>
          <w:color w:val="C00000"/>
          <w:sz w:val="21"/>
        </w:rPr>
        <w:t>免除が水道事業会計の純収益を同額減らすとは限らないが、令和8年度を基準年度として扱う場合や、令和8年度の資金残高を示す場合には、この措置を織り込んだ橋渡し表が必要となる。また、町の通常の料金表にはこの措置が記載されていないため、料金表だけを根拠に令和8年度の調定額を推計すると見落とすことに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料金改定シミュレーション①　現行体系維持案【仕様書パターン1】</w:t>
      </w:r>
    </w:p>
    <w:p>
      <w:pPr>
        <w:spacing w:before="240" w:after="100"/>
      </w:pPr>
      <w:r>
        <w:rPr>
          <w:rFonts w:ascii="ＭＳ ゴシック" w:hAnsi="ＭＳ ゴシック" w:eastAsia="ＭＳ ゴシック"/>
          <w:b/>
          <w:color w:val="2E75B6"/>
          <w:sz w:val="23"/>
        </w:rPr>
        <w:t>6-1　案の考え方</w:t>
      </w:r>
    </w:p>
    <w:p>
      <w:pPr>
        <w:spacing w:after="120" w:line="276" w:lineRule="auto"/>
      </w:pPr>
      <w:r>
        <w:rPr>
          <w:rFonts w:ascii="ＭＳ 明朝" w:hAnsi="ＭＳ 明朝" w:eastAsia="ＭＳ 明朝"/>
          <w:b w:val="0"/>
          <w:sz w:val="21"/>
        </w:rPr>
        <w:t>現行の用途別・逓減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6-2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36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474"/>
          </w:tcPr>
          <w:p>
            <w:pPr>
              <w:spacing w:after="40"/>
              <w:jc w:val="center"/>
            </w:pPr>
            <w:r/>
            <w:r>
              <w:rPr>
                <w:rFonts w:ascii="ＭＳ 明朝" w:hAnsi="ＭＳ 明朝" w:eastAsia="ＭＳ 明朝"/>
                <w:b w:val="0"/>
                <w:sz w:val="18"/>
              </w:rPr>
              <w:t>116,993千円</w:t>
            </w:r>
          </w:p>
        </w:tc>
        <w:tc>
          <w:tcPr>
            <w:tcW w:type="dxa" w:w="136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474"/>
          </w:tcPr>
          <w:p>
            <w:pPr>
              <w:spacing w:after="40"/>
              <w:jc w:val="center"/>
            </w:pPr>
            <w:r/>
            <w:r>
              <w:rPr>
                <w:rFonts w:ascii="ＭＳ 明朝" w:hAnsi="ＭＳ 明朝" w:eastAsia="ＭＳ 明朝"/>
                <w:b w:val="0"/>
                <w:sz w:val="18"/>
              </w:rPr>
              <w:t>65.3%</w:t>
            </w:r>
          </w:p>
        </w:tc>
        <w:tc>
          <w:tcPr>
            <w:tcW w:type="dxa" w:w="1474"/>
          </w:tcPr>
          <w:p>
            <w:pPr>
              <w:spacing w:after="40"/>
              <w:jc w:val="center"/>
            </w:pPr>
            <w:r/>
            <w:r>
              <w:rPr>
                <w:rFonts w:ascii="ＭＳ 明朝" w:hAnsi="ＭＳ 明朝" w:eastAsia="ＭＳ 明朝"/>
                <w:b w:val="0"/>
                <w:sz w:val="18"/>
              </w:rPr>
              <w:t>81,546千円</w:t>
            </w:r>
          </w:p>
        </w:tc>
        <w:tc>
          <w:tcPr>
            <w:tcW w:type="dxa" w:w="136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474"/>
          </w:tcPr>
          <w:p>
            <w:pPr>
              <w:spacing w:after="40"/>
              <w:jc w:val="center"/>
            </w:pPr>
            <w:r/>
            <w:r>
              <w:rPr>
                <w:rFonts w:ascii="ＭＳ 明朝" w:hAnsi="ＭＳ 明朝" w:eastAsia="ＭＳ 明朝"/>
                <w:b w:val="0"/>
                <w:sz w:val="18"/>
              </w:rPr>
              <w:t>75.4%</w:t>
            </w:r>
          </w:p>
        </w:tc>
        <w:tc>
          <w:tcPr>
            <w:tcW w:type="dxa" w:w="1474"/>
          </w:tcPr>
          <w:p>
            <w:pPr>
              <w:spacing w:after="40"/>
              <w:jc w:val="center"/>
            </w:pPr>
            <w:r/>
            <w:r>
              <w:rPr>
                <w:rFonts w:ascii="ＭＳ 明朝" w:hAnsi="ＭＳ 明朝" w:eastAsia="ＭＳ 明朝"/>
                <w:b w:val="0"/>
                <w:sz w:val="18"/>
              </w:rPr>
              <w:t>57,895千円</w:t>
            </w:r>
          </w:p>
        </w:tc>
        <w:tc>
          <w:tcPr>
            <w:tcW w:type="dxa" w:w="136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+99％（1.99倍）</w:t>
            </w:r>
          </w:p>
        </w:tc>
        <w:tc>
          <w:tcPr>
            <w:tcW w:type="dxa" w:w="1644"/>
          </w:tcPr>
          <w:p>
            <w:pPr>
              <w:spacing w:after="40"/>
              <w:jc w:val="center"/>
            </w:pPr>
            <w:r/>
            <w:r>
              <w:rPr>
                <w:rFonts w:ascii="ＭＳ 明朝" w:hAnsi="ＭＳ 明朝" w:eastAsia="ＭＳ 明朝"/>
                <w:b/>
                <w:sz w:val="18"/>
              </w:rPr>
              <w:t>235.2百万円</w:t>
            </w:r>
          </w:p>
        </w:tc>
        <w:tc>
          <w:tcPr>
            <w:tcW w:type="dxa" w:w="1474"/>
          </w:tcPr>
          <w:p>
            <w:pPr>
              <w:spacing w:after="40"/>
              <w:jc w:val="center"/>
            </w:pPr>
            <w:r/>
            <w:r>
              <w:rPr>
                <w:rFonts w:ascii="ＭＳ 明朝" w:hAnsi="ＭＳ 明朝" w:eastAsia="ＭＳ 明朝"/>
                <w:b/>
                <w:sz w:val="18"/>
              </w:rPr>
              <w:t>272.4円/㎥</w:t>
            </w:r>
          </w:p>
        </w:tc>
        <w:tc>
          <w:tcPr>
            <w:tcW w:type="dxa" w:w="147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36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収入は水量ゾーン別の試算による推計である（5-6参照）。供給単価・回収割合は税抜ベース。繰入金を控除しない前提では2.45倍（年間収入289.6百万円）となる。</w:t>
      </w:r>
    </w:p>
    <w:p>
      <w:pPr>
        <w:spacing w:before="240" w:after="100"/>
      </w:pPr>
      <w:r>
        <w:rPr>
          <w:rFonts w:ascii="ＭＳ ゴシック" w:hAnsi="ＭＳ ゴシック" w:eastAsia="ＭＳ ゴシック"/>
          <w:b/>
          <w:color w:val="2E75B6"/>
          <w:sz w:val="23"/>
        </w:rPr>
        <w:t>6-3　水量ゾーン別の影響（月額・税込）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+99%改定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2,517</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3,741</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7,064</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17,460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45,642</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229,522</w:t>
            </w:r>
          </w:p>
        </w:tc>
        <w:tc>
          <w:tcPr>
            <w:tcW w:type="dxa" w:w="964"/>
          </w:tcPr>
          <w:p>
            <w:pPr>
              <w:spacing w:after="40"/>
              <w:jc w:val="center"/>
            </w:pPr>
            <w:r/>
            <w:r>
              <w:rPr>
                <w:rFonts w:ascii="ＭＳ 明朝" w:hAnsi="ＭＳ 明朝" w:eastAsia="ＭＳ 明朝"/>
                <w:b w:val="0"/>
                <w:sz w:val="17"/>
              </w:rPr>
              <w:t>1.99倍</w:t>
            </w:r>
          </w:p>
        </w:tc>
      </w:tr>
    </w:tbl>
    <w:p>
      <w:pPr>
        <w:spacing w:after="200" w:line="276" w:lineRule="auto"/>
      </w:pPr>
      <w:r>
        <w:rPr>
          <w:rFonts w:ascii="ＭＳ 明朝" w:hAnsi="ＭＳ 明朝" w:eastAsia="ＭＳ 明朝"/>
          <w:b w:val="0"/>
          <w:color w:val="595959"/>
          <w:sz w:val="17"/>
        </w:rPr>
        <w:t>※ 件数・月平均水量は特定の集計による推計であり、原票との照合を要する（5-6参照）。体系を変えないため、全てのゾーンが同じ倍率となる。</w:t>
      </w:r>
    </w:p>
    <w:p>
      <w:pPr>
        <w:spacing w:before="240" w:after="100"/>
      </w:pPr>
      <w:r>
        <w:rPr>
          <w:rFonts w:ascii="ＭＳ ゴシック" w:hAnsi="ＭＳ ゴシック" w:eastAsia="ＭＳ ゴシック"/>
          <w:b/>
          <w:color w:val="2E75B6"/>
          <w:sz w:val="23"/>
        </w:rPr>
        <w:t>6-4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逓減の設定が残るため大口使用者の単価は低いままで、負担の偏りは是正されない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改定率次第。総括原価の全額回収には1.99倍が必要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体系変更を伴わない現実的な選択肢。ただし単独では負担の偏りが残る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料金改定シミュレーション②　赤字半減案【仕様書パターン2】</w:t>
      </w:r>
    </w:p>
    <w:p>
      <w:pPr>
        <w:spacing w:before="240" w:after="100"/>
      </w:pPr>
      <w:r>
        <w:rPr>
          <w:rFonts w:ascii="ＭＳ ゴシック" w:hAnsi="ＭＳ ゴシック" w:eastAsia="ＭＳ ゴシック"/>
          <w:b/>
          <w:color w:val="2E75B6"/>
          <w:sz w:val="23"/>
        </w:rPr>
        <w:t>7-1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のパターン2は、料金で賄うべき額を示す定義③を用いている。いずれも決算上の損益や実際の資金収支とは一致しないため、仕様書がいう「現状赤字額」がどの定義を指すかを町と確認したうえで確定させ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948"/>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118"/>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948"/>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▲400,051千円</w:t>
            </w:r>
          </w:p>
        </w:tc>
        <w:tc>
          <w:tcPr>
            <w:tcW w:type="dxa" w:w="3118"/>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948"/>
          </w:tcPr>
          <w:p>
            <w:pPr>
              <w:spacing w:after="40"/>
              <w:jc w:val="center"/>
            </w:pPr>
            <w:r/>
            <w:r>
              <w:rPr>
                <w:rFonts w:ascii="ＭＳ 明朝" w:hAnsi="ＭＳ 明朝" w:eastAsia="ＭＳ 明朝"/>
                <w:b w:val="0"/>
                <w:sz w:val="18"/>
              </w:rPr>
              <w:t>経常収益−経常費用</w:t>
            </w:r>
          </w:p>
        </w:tc>
        <w:tc>
          <w:tcPr>
            <w:tcW w:type="dxa" w:w="1474"/>
          </w:tcPr>
          <w:p>
            <w:pPr>
              <w:spacing w:after="40"/>
              <w:jc w:val="center"/>
            </w:pPr>
            <w:r/>
            <w:r>
              <w:rPr>
                <w:rFonts w:ascii="ＭＳ 明朝" w:hAnsi="ＭＳ 明朝" w:eastAsia="ＭＳ 明朝"/>
                <w:b w:val="0"/>
                <w:sz w:val="18"/>
              </w:rPr>
              <w:t>▲49,846千円</w:t>
            </w:r>
          </w:p>
        </w:tc>
        <w:tc>
          <w:tcPr>
            <w:tcW w:type="dxa" w:w="3118"/>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③料金不足額</w:t>
            </w:r>
          </w:p>
        </w:tc>
        <w:tc>
          <w:tcPr>
            <w:tcW w:type="dxa" w:w="2948"/>
          </w:tcPr>
          <w:p>
            <w:pPr>
              <w:spacing w:after="40"/>
              <w:jc w:val="center"/>
            </w:pPr>
            <w:r/>
            <w:r>
              <w:rPr>
                <w:rFonts w:ascii="ＭＳ 明朝" w:hAnsi="ＭＳ 明朝" w:eastAsia="ＭＳ 明朝"/>
                <w:b/>
                <w:sz w:val="18"/>
              </w:rPr>
              <w:t>料金収入＋基準内繰入金−（維持管理費＋支払利息＋資産維持費）</w:t>
            </w:r>
          </w:p>
        </w:tc>
        <w:tc>
          <w:tcPr>
            <w:tcW w:type="dxa" w:w="1474"/>
          </w:tcPr>
          <w:p>
            <w:pPr>
              <w:spacing w:after="40"/>
              <w:jc w:val="center"/>
            </w:pPr>
            <w:r/>
            <w:r>
              <w:rPr>
                <w:rFonts w:ascii="ＭＳ 明朝" w:hAnsi="ＭＳ 明朝" w:eastAsia="ＭＳ 明朝"/>
                <w:b/>
                <w:sz w:val="18"/>
              </w:rPr>
              <w:t>▲29,488千円</w:t>
            </w:r>
          </w:p>
        </w:tc>
        <w:tc>
          <w:tcPr>
            <w:tcW w:type="dxa" w:w="3118"/>
          </w:tcPr>
          <w:p>
            <w:pPr>
              <w:spacing w:after="40"/>
              <w:jc w:val="center"/>
            </w:pPr>
            <w:r/>
            <w:r>
              <w:rPr>
                <w:rFonts w:ascii="ＭＳ 明朝" w:hAnsi="ＭＳ 明朝" w:eastAsia="ＭＳ 明朝"/>
                <w:b/>
                <w:sz w:val="18"/>
              </w:rPr>
              <w:t>資産維持費を含む料金必要額との差。本報告のパターン2で使用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948"/>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▲116,993千円</w:t>
            </w:r>
          </w:p>
        </w:tc>
        <w:tc>
          <w:tcPr>
            <w:tcW w:type="dxa" w:w="3118"/>
          </w:tcPr>
          <w:p>
            <w:pPr>
              <w:spacing w:after="40"/>
              <w:jc w:val="center"/>
            </w:pPr>
            <w:r/>
            <w:r>
              <w:rPr>
                <w:rFonts w:ascii="ＭＳ 明朝" w:hAnsi="ＭＳ 明朝" w:eastAsia="ＭＳ 明朝"/>
                <w:b w:val="0"/>
                <w:sz w:val="18"/>
              </w:rPr>
              <w:t>将来財源の確保目標</w:t>
            </w:r>
          </w:p>
        </w:tc>
      </w:tr>
    </w:tbl>
    <w:p>
      <w:pPr>
        <w:spacing w:after="200" w:line="276" w:lineRule="auto"/>
      </w:pPr>
      <w:r>
        <w:rPr>
          <w:rFonts w:ascii="ＭＳ 明朝" w:hAnsi="ＭＳ 明朝" w:eastAsia="ＭＳ 明朝"/>
          <w:b w:val="0"/>
          <w:color w:val="595959"/>
          <w:sz w:val="17"/>
        </w:rPr>
        <w:t>※ ①②は経営戦略の財政シミュレーションの令和7年度の対応額から再計算した値である。③の資産維持費26,889千円/年は将来投資に向けた内部留保額であり、当年度の現金支出ではない。また企業債元金償還金・建設改良費等の現金支出、期首資金を含まないため、実際のキャッシュフローや資金不足額とは一致しない。資産維持費を控除する前の残差は▲2,599千円/年である。</w:t>
      </w:r>
    </w:p>
    <w:p>
      <w:pPr>
        <w:spacing w:before="240" w:after="100"/>
      </w:pPr>
      <w:r>
        <w:rPr>
          <w:rFonts w:ascii="ＭＳ ゴシック" w:hAnsi="ＭＳ ゴシック" w:eastAsia="ＭＳ ゴシック"/>
          <w:b/>
          <w:color w:val="2E75B6"/>
          <w:sz w:val="23"/>
        </w:rPr>
        <w:t>7-2　定義③による赤字半減に必要な改定率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総括原価回収割合</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1.062倍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53.4%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1.125倍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56.5%</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1.187倍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59.7%</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1.250倍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62.8%</w:t>
            </w:r>
          </w:p>
        </w:tc>
      </w:tr>
    </w:tbl>
    <w:p>
      <w:pPr>
        <w:spacing w:after="200" w:line="276" w:lineRule="auto"/>
      </w:pPr>
      <w:r>
        <w:rPr>
          <w:rFonts w:ascii="ＭＳ 明朝" w:hAnsi="ＭＳ 明朝" w:eastAsia="ＭＳ 明朝"/>
          <w:b w:val="0"/>
          <w:color w:val="595959"/>
          <w:sz w:val="17"/>
        </w:rPr>
        <w:t>※ 赤字半減の改定率は正確には1.124772倍であり、12％ちょうどの改定ではない。基準内繰入金を収入側に算入したうえで算定している。繰入金を算入しない場合の同定義の不足額は▲84,088千円/年となり、半減には1.36倍が必要となる。</w:t>
      </w:r>
    </w:p>
    <w:p>
      <w:pPr>
        <w:spacing w:before="180" w:after="80"/>
      </w:pPr>
      <w:r>
        <w:rPr>
          <w:rFonts w:ascii="ＭＳ ゴシック" w:hAnsi="ＭＳ ゴシック" w:eastAsia="ＭＳ ゴシック"/>
          <w:b/>
          <w:color w:val="C55A11"/>
          <w:sz w:val="21"/>
        </w:rPr>
        <w:t>（参考）定義④による赤字半減</w:t>
      </w:r>
    </w:p>
    <w:p>
      <w:pPr>
        <w:spacing w:after="120" w:line="276" w:lineRule="auto"/>
      </w:pPr>
      <w:r>
        <w:rPr>
          <w:rFonts w:ascii="ＭＳ 明朝" w:hAnsi="ＭＳ 明朝" w:eastAsia="ＭＳ 明朝"/>
          <w:b w:val="0"/>
          <w:sz w:val="21"/>
        </w:rPr>
        <w:t>総括原価ベースの不足額116,993千円/年を半減する場合、必要改定率は1.495倍、標準家庭（20mm・20㎥）の月額は3,733円となる。これも決算赤字を半減させる改定率ではなく、定義の違いによる参考値である。</w:t>
      </w:r>
    </w:p>
    <w:p>
      <w:pPr>
        <w:spacing w:before="240" w:after="100"/>
      </w:pPr>
      <w:r>
        <w:rPr>
          <w:rFonts w:ascii="ＭＳ ゴシック" w:hAnsi="ＭＳ ゴシック" w:eastAsia="ＭＳ ゴシック"/>
          <w:b/>
          <w:color w:val="2E75B6"/>
          <w:sz w:val="23"/>
        </w:rPr>
        <w:t>7-3　段階改定のスケジュール案</w:t>
      </w:r>
    </w:p>
    <w:p>
      <w:pPr>
        <w:spacing w:after="120" w:line="276" w:lineRule="auto"/>
      </w:pPr>
      <w:r>
        <w:rPr>
          <w:rFonts w:ascii="ＭＳ 明朝" w:hAnsi="ＭＳ 明朝" w:eastAsia="ＭＳ 明朝"/>
          <w:b w:val="0"/>
          <w:sz w:val="21"/>
        </w:rPr>
        <w:t>「改定案の決定・条例の議決」と「新料金の適用開始」は別の時点である。本業務の履行期限が令和9年3月末であることから、条例改正の議決は令和9年3月議会、新料金の適用開始は令和9年4月以降を基本とす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2E75B6"/>
          </w:tcPr>
          <w:p>
            <w:pPr>
              <w:spacing w:after="40"/>
              <w:jc w:val="center"/>
            </w:pPr>
            <w:r/>
            <w:r>
              <w:rPr>
                <w:rFonts w:ascii="ＭＳ ゴシック" w:hAnsi="ＭＳ ゴシック" w:eastAsia="ＭＳ ゴシック"/>
                <w:b/>
                <w:color w:val="FFFFFF"/>
                <w:sz w:val="18"/>
              </w:rPr>
              <w:t>段階</w:t>
            </w:r>
          </w:p>
        </w:tc>
        <w:tc>
          <w:tcPr>
            <w:tcW w:type="dxa" w:w="1361"/>
            <w:shd w:val="clear" w:fill="2E75B6"/>
          </w:tcPr>
          <w:p>
            <w:pPr>
              <w:spacing w:after="40"/>
              <w:jc w:val="center"/>
            </w:pPr>
            <w:r/>
            <w:r>
              <w:rPr>
                <w:rFonts w:ascii="ＭＳ ゴシック" w:hAnsi="ＭＳ ゴシック" w:eastAsia="ＭＳ ゴシック"/>
                <w:b/>
                <w:color w:val="FFFFFF"/>
                <w:sz w:val="18"/>
              </w:rPr>
              <w:t>議決の時期</w:t>
            </w:r>
          </w:p>
        </w:tc>
        <w:tc>
          <w:tcPr>
            <w:tcW w:type="dxa" w:w="1474"/>
            <w:shd w:val="clear" w:fill="2E75B6"/>
          </w:tcPr>
          <w:p>
            <w:pPr>
              <w:spacing w:after="40"/>
              <w:jc w:val="center"/>
            </w:pPr>
            <w:r/>
            <w:r>
              <w:rPr>
                <w:rFonts w:ascii="ＭＳ ゴシック" w:hAnsi="ＭＳ ゴシック" w:eastAsia="ＭＳ ゴシック"/>
                <w:b/>
                <w:color w:val="FFFFFF"/>
                <w:sz w:val="18"/>
              </w:rPr>
              <w:t>適用開始</w:t>
            </w:r>
          </w:p>
        </w:tc>
        <w:tc>
          <w:tcPr>
            <w:tcW w:type="dxa" w:w="2041"/>
            <w:shd w:val="clear" w:fill="2E75B6"/>
          </w:tcPr>
          <w:p>
            <w:pPr>
              <w:spacing w:after="40"/>
              <w:jc w:val="center"/>
            </w:pPr>
            <w:r/>
            <w:r>
              <w:rPr>
                <w:rFonts w:ascii="ＭＳ ゴシック" w:hAnsi="ＭＳ ゴシック" w:eastAsia="ＭＳ ゴシック"/>
                <w:b/>
                <w:color w:val="FFFFFF"/>
                <w:sz w:val="18"/>
              </w:rPr>
              <w:t>目標</w:t>
            </w:r>
          </w:p>
        </w:tc>
        <w:tc>
          <w:tcPr>
            <w:tcW w:type="dxa" w:w="1077"/>
            <w:shd w:val="clear" w:fill="2E75B6"/>
          </w:tcPr>
          <w:p>
            <w:pPr>
              <w:spacing w:after="40"/>
              <w:jc w:val="center"/>
            </w:pPr>
            <w:r/>
            <w:r>
              <w:rPr>
                <w:rFonts w:ascii="ＭＳ ゴシック" w:hAnsi="ＭＳ ゴシック" w:eastAsia="ＭＳ ゴシック"/>
                <w:b/>
                <w:color w:val="FFFFFF"/>
                <w:sz w:val="18"/>
              </w:rPr>
              <w:t>改定率</w:t>
            </w:r>
          </w:p>
        </w:tc>
        <w:tc>
          <w:tcPr>
            <w:tcW w:type="dxa" w:w="130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標準家庭月額</w:t>
            </w:r>
          </w:p>
        </w:tc>
      </w:tr>
      <w:tr>
        <w:tc>
          <w:tcPr>
            <w:tcW w:type="dxa" w:w="1247"/>
          </w:tcPr>
          <w:p>
            <w:pPr>
              <w:spacing w:after="40"/>
              <w:jc w:val="left"/>
            </w:pPr>
            <w:r/>
            <w:r>
              <w:rPr>
                <w:rFonts w:ascii="ＭＳ 明朝" w:hAnsi="ＭＳ 明朝" w:eastAsia="ＭＳ 明朝"/>
                <w:b w:val="0"/>
                <w:sz w:val="18"/>
              </w:rPr>
              <w:t>第1次改定</w:t>
            </w:r>
          </w:p>
        </w:tc>
        <w:tc>
          <w:tcPr>
            <w:tcW w:type="dxa" w:w="1361"/>
          </w:tcPr>
          <w:p>
            <w:pPr>
              <w:spacing w:after="40"/>
              <w:jc w:val="center"/>
            </w:pPr>
            <w:r/>
            <w:r>
              <w:rPr>
                <w:rFonts w:ascii="ＭＳ 明朝" w:hAnsi="ＭＳ 明朝" w:eastAsia="ＭＳ 明朝"/>
                <w:b w:val="0"/>
                <w:sz w:val="18"/>
              </w:rPr>
              <w:t>令和9年3月</w:t>
            </w:r>
          </w:p>
        </w:tc>
        <w:tc>
          <w:tcPr>
            <w:tcW w:type="dxa" w:w="1474"/>
          </w:tcPr>
          <w:p>
            <w:pPr>
              <w:spacing w:after="40"/>
              <w:jc w:val="center"/>
            </w:pPr>
            <w:r/>
            <w:r>
              <w:rPr>
                <w:rFonts w:ascii="ＭＳ 明朝" w:hAnsi="ＭＳ 明朝" w:eastAsia="ＭＳ 明朝"/>
                <w:b w:val="0"/>
                <w:sz w:val="18"/>
              </w:rPr>
              <w:t>令和9年4月以降</w:t>
            </w:r>
          </w:p>
        </w:tc>
        <w:tc>
          <w:tcPr>
            <w:tcW w:type="dxa" w:w="2041"/>
          </w:tcPr>
          <w:p>
            <w:pPr>
              <w:spacing w:after="40"/>
              <w:jc w:val="center"/>
            </w:pPr>
            <w:r/>
            <w:r>
              <w:rPr>
                <w:rFonts w:ascii="ＭＳ 明朝" w:hAnsi="ＭＳ 明朝" w:eastAsia="ＭＳ 明朝"/>
                <w:b w:val="0"/>
                <w:sz w:val="18"/>
              </w:rPr>
              <w:t>定義③の料金不足額の半減</w:t>
            </w:r>
          </w:p>
        </w:tc>
        <w:tc>
          <w:tcPr>
            <w:tcW w:type="dxa" w:w="1077"/>
          </w:tcPr>
          <w:p>
            <w:pPr>
              <w:spacing w:after="40"/>
              <w:jc w:val="center"/>
            </w:pPr>
            <w:r/>
            <w:r>
              <w:rPr>
                <w:rFonts w:ascii="ＭＳ 明朝" w:hAnsi="ＭＳ 明朝" w:eastAsia="ＭＳ 明朝"/>
                <w:b w:val="0"/>
                <w:sz w:val="18"/>
              </w:rPr>
              <w:t>1.125倍</w:t>
            </w:r>
          </w:p>
        </w:tc>
        <w:tc>
          <w:tcPr>
            <w:tcW w:type="dxa" w:w="130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2,809円</w:t>
            </w:r>
          </w:p>
        </w:tc>
      </w:tr>
      <w:tr>
        <w:tc>
          <w:tcPr>
            <w:tcW w:type="dxa" w:w="1247"/>
          </w:tcPr>
          <w:p>
            <w:pPr>
              <w:spacing w:after="40"/>
              <w:jc w:val="left"/>
            </w:pPr>
            <w:r/>
            <w:r>
              <w:rPr>
                <w:rFonts w:ascii="ＭＳ 明朝" w:hAnsi="ＭＳ 明朝" w:eastAsia="ＭＳ 明朝"/>
                <w:b w:val="0"/>
                <w:sz w:val="18"/>
              </w:rPr>
              <w:t>第2次改定</w:t>
            </w:r>
          </w:p>
        </w:tc>
        <w:tc>
          <w:tcPr>
            <w:tcW w:type="dxa" w:w="1361"/>
          </w:tcPr>
          <w:p>
            <w:pPr>
              <w:spacing w:after="40"/>
              <w:jc w:val="center"/>
            </w:pPr>
            <w:r/>
            <w:r>
              <w:rPr>
                <w:rFonts w:ascii="ＭＳ 明朝" w:hAnsi="ＭＳ 明朝" w:eastAsia="ＭＳ 明朝"/>
                <w:b w:val="0"/>
                <w:sz w:val="18"/>
              </w:rPr>
              <w:t>令和13〜17年度</w:t>
            </w:r>
          </w:p>
        </w:tc>
        <w:tc>
          <w:tcPr>
            <w:tcW w:type="dxa" w:w="1474"/>
          </w:tcPr>
          <w:p>
            <w:pPr>
              <w:spacing w:after="40"/>
              <w:jc w:val="center"/>
            </w:pPr>
            <w:r/>
            <w:r>
              <w:rPr>
                <w:rFonts w:ascii="ＭＳ 明朝" w:hAnsi="ＭＳ 明朝" w:eastAsia="ＭＳ 明朝"/>
                <w:b w:val="0"/>
                <w:sz w:val="18"/>
              </w:rPr>
              <w:t>議決の翌年度</w:t>
            </w:r>
          </w:p>
        </w:tc>
        <w:tc>
          <w:tcPr>
            <w:tcW w:type="dxa" w:w="2041"/>
          </w:tcPr>
          <w:p>
            <w:pPr>
              <w:spacing w:after="40"/>
              <w:jc w:val="center"/>
            </w:pPr>
            <w:r/>
            <w:r>
              <w:rPr>
                <w:rFonts w:ascii="ＭＳ 明朝" w:hAnsi="ＭＳ 明朝" w:eastAsia="ＭＳ 明朝"/>
                <w:b w:val="0"/>
                <w:sz w:val="18"/>
              </w:rPr>
              <w:t>総括原価の回収</w:t>
            </w:r>
          </w:p>
        </w:tc>
        <w:tc>
          <w:tcPr>
            <w:tcW w:type="dxa" w:w="1077"/>
          </w:tcPr>
          <w:p>
            <w:pPr>
              <w:spacing w:after="40"/>
              <w:jc w:val="center"/>
            </w:pPr>
            <w:r/>
            <w:r>
              <w:rPr>
                <w:rFonts w:ascii="ＭＳ 明朝" w:hAnsi="ＭＳ 明朝" w:eastAsia="ＭＳ 明朝"/>
                <w:b w:val="0"/>
                <w:sz w:val="18"/>
              </w:rPr>
              <w:t>1.99倍</w:t>
            </w:r>
          </w:p>
        </w:tc>
        <w:tc>
          <w:tcPr>
            <w:tcW w:type="dxa" w:w="130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4,969円</w:t>
            </w:r>
          </w:p>
        </w:tc>
      </w:tr>
      <w:tr>
        <w:tc>
          <w:tcPr>
            <w:tcW w:type="dxa" w:w="1247"/>
          </w:tcPr>
          <w:p>
            <w:pPr>
              <w:spacing w:after="40"/>
              <w:jc w:val="left"/>
            </w:pPr>
            <w:r/>
            <w:r>
              <w:rPr>
                <w:rFonts w:ascii="ＭＳ 明朝" w:hAnsi="ＭＳ 明朝" w:eastAsia="ＭＳ 明朝"/>
                <w:b w:val="0"/>
                <w:sz w:val="18"/>
              </w:rPr>
              <w:t>到達点</w:t>
            </w:r>
          </w:p>
        </w:tc>
        <w:tc>
          <w:tcPr>
            <w:tcW w:type="dxa" w:w="1361"/>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令和17年度以降</w:t>
            </w:r>
          </w:p>
        </w:tc>
        <w:tc>
          <w:tcPr>
            <w:tcW w:type="dxa" w:w="2041"/>
          </w:tcPr>
          <w:p>
            <w:pPr>
              <w:spacing w:after="40"/>
              <w:jc w:val="center"/>
            </w:pPr>
            <w:r/>
            <w:r>
              <w:rPr>
                <w:rFonts w:ascii="ＭＳ 明朝" w:hAnsi="ＭＳ 明朝" w:eastAsia="ＭＳ 明朝"/>
                <w:b w:val="0"/>
                <w:sz w:val="18"/>
              </w:rPr>
              <w:t>収支均衡</w:t>
            </w:r>
          </w:p>
        </w:tc>
        <w:tc>
          <w:tcPr>
            <w:tcW w:type="dxa" w:w="1077"/>
          </w:tcPr>
          <w:p>
            <w:pPr>
              <w:spacing w:after="40"/>
              <w:jc w:val="center"/>
            </w:pPr>
            <w:r/>
            <w:r>
              <w:rPr>
                <w:rFonts w:ascii="ＭＳ 明朝" w:hAnsi="ＭＳ 明朝" w:eastAsia="ＭＳ 明朝"/>
                <w:b w:val="0"/>
                <w:sz w:val="18"/>
              </w:rPr>
              <w:t>―</w:t>
            </w:r>
          </w:p>
        </w:tc>
        <w:tc>
          <w:tcPr>
            <w:tcW w:type="dxa" w:w="130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本表の改定率・回収割合・月額は通年ベースの試算値である。適用開始が令和9年4月以降となるため、令和8年度中の改定による増収は生じない。初年度の適用月数、次回改定までの累積不足、期首資金、企業債元金償還を含む年次の資金残高は、第10章4節の作業で確定させる。第2次改定の水準は、その時点の投資計画・決算値により再算定する。</w:t>
      </w:r>
    </w:p>
    <w:p>
      <w:pPr>
        <w:spacing w:before="240" w:after="100"/>
      </w:pPr>
      <w:r>
        <w:rPr>
          <w:rFonts w:ascii="ＭＳ ゴシック" w:hAnsi="ＭＳ ゴシック" w:eastAsia="ＭＳ ゴシック"/>
          <w:b/>
          <w:color w:val="2E75B6"/>
          <w:sz w:val="23"/>
        </w:rPr>
        <w:t>7-4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1回あたりの改定幅を抑えつつ財政改善に着手できるため、議会・事業者の受容が得やすいと考えられる。一方で総括原価の回収には届かず、第2次改定を前提とする必要がある。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料金改定シミュレーション③　口径別料金表案【仕様書パターン3】</w:t>
      </w:r>
    </w:p>
    <w:p>
      <w:pPr>
        <w:spacing w:before="240" w:after="100"/>
      </w:pPr>
      <w:r>
        <w:rPr>
          <w:rFonts w:ascii="ＭＳ ゴシック" w:hAnsi="ＭＳ ゴシック" w:eastAsia="ＭＳ ゴシック"/>
          <w:b/>
          <w:color w:val="2E75B6"/>
          <w:sz w:val="23"/>
        </w:rPr>
        <w:t>8-1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の設定の廃止により大口使用者の負担が大きく増える。</w:t>
      </w:r>
    </w:p>
    <w:p>
      <w:pPr>
        <w:spacing w:after="120" w:line="276" w:lineRule="auto"/>
      </w:pPr>
      <w:r>
        <w:rPr>
          <w:rFonts w:ascii="ＭＳ 明朝" w:hAnsi="ＭＳ 明朝" w:eastAsia="ＭＳ 明朝"/>
          <w:b w:val="0"/>
          <w:sz w:val="21"/>
        </w:rPr>
        <w:t>本報告では、県内他団体のうち口径区分が細かい塩竈市の体系比率を参考に、総括原価を全額回収する水準へ調整した料金表を設計した。この水準は試算上の調整結果であり、実調定データによる検証を経ていない（5-6参照）。</w:t>
      </w:r>
    </w:p>
    <w:p>
      <w:pPr>
        <w:spacing w:before="240" w:after="100"/>
      </w:pPr>
      <w:r>
        <w:rPr>
          <w:rFonts w:ascii="ＭＳ ゴシック" w:hAnsi="ＭＳ ゴシック" w:eastAsia="ＭＳ ゴシック"/>
          <w:b/>
          <w:color w:val="2E75B6"/>
          <w:sz w:val="23"/>
        </w:rPr>
        <w:t>8-2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752円</w:t>
            </w:r>
          </w:p>
        </w:tc>
        <w:tc>
          <w:tcPr>
            <w:tcW w:type="dxa" w:w="1049"/>
          </w:tcPr>
          <w:p>
            <w:pPr>
              <w:spacing w:after="40"/>
              <w:jc w:val="center"/>
            </w:pPr>
            <w:r/>
            <w:r>
              <w:rPr>
                <w:rFonts w:ascii="ＭＳ 明朝" w:hAnsi="ＭＳ 明朝" w:eastAsia="ＭＳ 明朝"/>
                <w:b w:val="0"/>
                <w:sz w:val="17"/>
              </w:rPr>
              <w:t>1,396円</w:t>
            </w:r>
          </w:p>
        </w:tc>
        <w:tc>
          <w:tcPr>
            <w:tcW w:type="dxa" w:w="1049"/>
          </w:tcPr>
          <w:p>
            <w:pPr>
              <w:spacing w:after="40"/>
              <w:jc w:val="center"/>
            </w:pPr>
            <w:r/>
            <w:r>
              <w:rPr>
                <w:rFonts w:ascii="ＭＳ 明朝" w:hAnsi="ＭＳ 明朝" w:eastAsia="ＭＳ 明朝"/>
                <w:b w:val="0"/>
                <w:sz w:val="17"/>
              </w:rPr>
              <w:t>2,255円</w:t>
            </w:r>
          </w:p>
        </w:tc>
        <w:tc>
          <w:tcPr>
            <w:tcW w:type="dxa" w:w="1049"/>
          </w:tcPr>
          <w:p>
            <w:pPr>
              <w:spacing w:after="40"/>
              <w:jc w:val="center"/>
            </w:pPr>
            <w:r/>
            <w:r>
              <w:rPr>
                <w:rFonts w:ascii="ＭＳ 明朝" w:hAnsi="ＭＳ 明朝" w:eastAsia="ＭＳ 明朝"/>
                <w:b w:val="0"/>
                <w:sz w:val="17"/>
              </w:rPr>
              <w:t>5,369円</w:t>
            </w:r>
          </w:p>
        </w:tc>
        <w:tc>
          <w:tcPr>
            <w:tcW w:type="dxa" w:w="1049"/>
          </w:tcPr>
          <w:p>
            <w:pPr>
              <w:spacing w:after="40"/>
              <w:jc w:val="center"/>
            </w:pPr>
            <w:r/>
            <w:r>
              <w:rPr>
                <w:rFonts w:ascii="ＭＳ 明朝" w:hAnsi="ＭＳ 明朝" w:eastAsia="ＭＳ 明朝"/>
                <w:b w:val="0"/>
                <w:sz w:val="17"/>
              </w:rPr>
              <w:t>10,738円</w:t>
            </w:r>
          </w:p>
        </w:tc>
        <w:tc>
          <w:tcPr>
            <w:tcW w:type="dxa" w:w="1049"/>
          </w:tcPr>
          <w:p>
            <w:pPr>
              <w:spacing w:after="40"/>
              <w:jc w:val="center"/>
            </w:pPr>
            <w:r/>
            <w:r>
              <w:rPr>
                <w:rFonts w:ascii="ＭＳ 明朝" w:hAnsi="ＭＳ 明朝" w:eastAsia="ＭＳ 明朝"/>
                <w:b w:val="0"/>
                <w:sz w:val="17"/>
              </w:rPr>
              <w:t>21,476円</w:t>
            </w:r>
          </w:p>
        </w:tc>
        <w:tc>
          <w:tcPr>
            <w:tcW w:type="dxa" w:w="1049"/>
          </w:tcPr>
          <w:p>
            <w:pPr>
              <w:spacing w:after="40"/>
              <w:jc w:val="center"/>
            </w:pPr>
            <w:r/>
            <w:r>
              <w:rPr>
                <w:rFonts w:ascii="ＭＳ 明朝" w:hAnsi="ＭＳ 明朝" w:eastAsia="ＭＳ 明朝"/>
                <w:b w:val="0"/>
                <w:sz w:val="17"/>
              </w:rPr>
              <w:t>40,805円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89.1円/㎥</w:t>
            </w:r>
          </w:p>
        </w:tc>
        <w:tc>
          <w:tcPr>
            <w:tcW w:type="dxa" w:w="1474"/>
          </w:tcPr>
          <w:p>
            <w:pPr>
              <w:spacing w:after="40"/>
              <w:jc w:val="center"/>
            </w:pPr>
            <w:r/>
            <w:r>
              <w:rPr>
                <w:rFonts w:ascii="ＭＳ 明朝" w:hAnsi="ＭＳ 明朝" w:eastAsia="ＭＳ 明朝"/>
                <w:b w:val="0"/>
                <w:sz w:val="18"/>
              </w:rPr>
              <w:t>187.9円/㎥</w:t>
            </w:r>
          </w:p>
        </w:tc>
        <w:tc>
          <w:tcPr>
            <w:tcW w:type="dxa" w:w="1474"/>
          </w:tcPr>
          <w:p>
            <w:pPr>
              <w:spacing w:after="40"/>
              <w:jc w:val="center"/>
            </w:pPr>
            <w:r/>
            <w:r>
              <w:rPr>
                <w:rFonts w:ascii="ＭＳ 明朝" w:hAnsi="ＭＳ 明朝" w:eastAsia="ＭＳ 明朝"/>
                <w:b w:val="0"/>
                <w:sz w:val="18"/>
              </w:rPr>
              <w:t>252.3円/㎥</w:t>
            </w:r>
          </w:p>
        </w:tc>
        <w:tc>
          <w:tcPr>
            <w:tcW w:type="dxa" w:w="1474"/>
          </w:tcPr>
          <w:p>
            <w:pPr>
              <w:spacing w:after="40"/>
              <w:jc w:val="center"/>
            </w:pPr>
            <w:r/>
            <w:r>
              <w:rPr>
                <w:rFonts w:ascii="ＭＳ 明朝" w:hAnsi="ＭＳ 明朝" w:eastAsia="ＭＳ 明朝"/>
                <w:b w:val="0"/>
                <w:sz w:val="18"/>
              </w:rPr>
              <w:t>273.8円/㎥</w:t>
            </w:r>
          </w:p>
        </w:tc>
        <w:tc>
          <w:tcPr>
            <w:tcW w:type="dxa" w:w="1531"/>
          </w:tcPr>
          <w:p>
            <w:pPr>
              <w:spacing w:after="40"/>
              <w:jc w:val="center"/>
            </w:pPr>
            <w:r/>
            <w:r>
              <w:rPr>
                <w:rFonts w:ascii="ＭＳ 明朝" w:hAnsi="ＭＳ 明朝" w:eastAsia="ＭＳ 明朝"/>
                <w:b w:val="0"/>
                <w:sz w:val="18"/>
              </w:rPr>
              <w:t>316.8円/㎥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掲載単価は小数第1位で丸めているが、料金例は丸め前の単価で算定しているため、掲載表から逆算した額と数十円の差が生じる場合がある。現行料金の端数処理は1円未満の切捨てとされているため、条例案と試算の双方でこれにそろえる。</w:t>
      </w:r>
    </w:p>
    <w:p>
      <w:pPr>
        <w:spacing w:before="180" w:after="80"/>
      </w:pPr>
      <w:r>
        <w:rPr>
          <w:rFonts w:ascii="ＭＳ ゴシック" w:hAnsi="ＭＳ ゴシック" w:eastAsia="ＭＳ ゴシック"/>
          <w:b/>
          <w:color w:val="C55A11"/>
          <w:sz w:val="21"/>
        </w:rPr>
        <w:t>（2）水量ゾーン別の影響（月額・税込）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1134"/>
            <w:shd w:val="clear" w:fill="2E75B6"/>
          </w:tcPr>
          <w:p>
            <w:pPr>
              <w:spacing w:after="40"/>
              <w:jc w:val="center"/>
            </w:pPr>
            <w:r/>
            <w:r>
              <w:rPr>
                <w:rFonts w:ascii="ＭＳ ゴシック" w:hAnsi="ＭＳ ゴシック" w:eastAsia="ＭＳ ゴシック"/>
                <w:b/>
                <w:color w:val="FFFFFF"/>
                <w:sz w:val="18"/>
              </w:rPr>
              <w:t>月平均</w:t>
            </w:r>
          </w:p>
        </w:tc>
        <w:tc>
          <w:tcPr>
            <w:tcW w:type="dxa" w:w="1077"/>
            <w:shd w:val="clear" w:fill="2E75B6"/>
          </w:tcPr>
          <w:p>
            <w:pPr>
              <w:spacing w:after="40"/>
              <w:jc w:val="center"/>
            </w:pPr>
            <w:r/>
            <w:r>
              <w:rPr>
                <w:rFonts w:ascii="ＭＳ ゴシック" w:hAnsi="ＭＳ ゴシック" w:eastAsia="ＭＳ ゴシック"/>
                <w:b/>
                <w:color w:val="FFFFFF"/>
                <w:sz w:val="18"/>
              </w:rPr>
              <w:t>適用口径</w:t>
            </w:r>
          </w:p>
        </w:tc>
        <w:tc>
          <w:tcPr>
            <w:tcW w:type="dxa" w:w="1474"/>
            <w:shd w:val="clear" w:fill="2E75B6"/>
          </w:tcPr>
          <w:p>
            <w:pPr>
              <w:spacing w:after="40"/>
              <w:jc w:val="center"/>
            </w:pPr>
            <w:r/>
            <w:r>
              <w:rPr>
                <w:rFonts w:ascii="ＭＳ ゴシック" w:hAnsi="ＭＳ ゴシック" w:eastAsia="ＭＳ ゴシック"/>
                <w:b/>
                <w:color w:val="FFFFFF"/>
                <w:sz w:val="18"/>
              </w:rPr>
              <w:t>現行</w:t>
            </w:r>
          </w:p>
        </w:tc>
        <w:tc>
          <w:tcPr>
            <w:tcW w:type="dxa" w:w="1474"/>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814"/>
          </w:tcPr>
          <w:p>
            <w:pPr>
              <w:spacing w:after="40"/>
              <w:jc w:val="left"/>
            </w:pPr>
            <w:r/>
            <w:r>
              <w:rPr>
                <w:rFonts w:ascii="ＭＳ 明朝" w:hAnsi="ＭＳ 明朝" w:eastAsia="ＭＳ 明朝"/>
                <w:b w:val="0"/>
                <w:sz w:val="18"/>
              </w:rPr>
              <w:t>① 0㎥</w:t>
            </w:r>
          </w:p>
        </w:tc>
        <w:tc>
          <w:tcPr>
            <w:tcW w:type="dxa" w:w="1134"/>
          </w:tcPr>
          <w:p>
            <w:pPr>
              <w:spacing w:after="40"/>
              <w:jc w:val="center"/>
            </w:pPr>
            <w:r/>
            <w:r>
              <w:rPr>
                <w:rFonts w:ascii="ＭＳ 明朝" w:hAnsi="ＭＳ 明朝" w:eastAsia="ＭＳ 明朝"/>
                <w:b w:val="0"/>
                <w:sz w:val="18"/>
              </w:rPr>
              <w:t>0.0㎥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752</w:t>
            </w:r>
          </w:p>
        </w:tc>
        <w:tc>
          <w:tcPr>
            <w:tcW w:type="dxa" w:w="1247"/>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1134"/>
          </w:tcPr>
          <w:p>
            <w:pPr>
              <w:spacing w:after="40"/>
              <w:jc w:val="center"/>
            </w:pPr>
            <w:r/>
            <w:r>
              <w:rPr>
                <w:rFonts w:ascii="ＭＳ 明朝" w:hAnsi="ＭＳ 明朝" w:eastAsia="ＭＳ 明朝"/>
                <w:b w:val="0"/>
                <w:sz w:val="18"/>
              </w:rPr>
              <w:t>2.9㎥</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1,010</w:t>
            </w:r>
          </w:p>
        </w:tc>
        <w:tc>
          <w:tcPr>
            <w:tcW w:type="dxa" w:w="1247"/>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1134"/>
          </w:tcPr>
          <w:p>
            <w:pPr>
              <w:spacing w:after="40"/>
              <w:jc w:val="center"/>
            </w:pPr>
            <w:r/>
            <w:r>
              <w:rPr>
                <w:rFonts w:ascii="ＭＳ 明朝" w:hAnsi="ＭＳ 明朝" w:eastAsia="ＭＳ 明朝"/>
                <w:b w:val="0"/>
                <w:sz w:val="18"/>
              </w:rPr>
              <w:t>8.0㎥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1,265</w:t>
            </w:r>
          </w:p>
        </w:tc>
        <w:tc>
          <w:tcPr>
            <w:tcW w:type="dxa" w:w="1474"/>
          </w:tcPr>
          <w:p>
            <w:pPr>
              <w:spacing w:after="40"/>
              <w:jc w:val="right"/>
            </w:pPr>
            <w:r/>
            <w:r>
              <w:rPr>
                <w:rFonts w:ascii="ＭＳ 明朝" w:hAnsi="ＭＳ 明朝" w:eastAsia="ＭＳ 明朝"/>
                <w:b w:val="0"/>
                <w:sz w:val="18"/>
              </w:rPr>
              <w:t>1,465</w:t>
            </w:r>
          </w:p>
        </w:tc>
        <w:tc>
          <w:tcPr>
            <w:tcW w:type="dxa" w:w="1247"/>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1134"/>
          </w:tcPr>
          <w:p>
            <w:pPr>
              <w:spacing w:after="40"/>
              <w:jc w:val="center"/>
            </w:pPr>
            <w:r/>
            <w:r>
              <w:rPr>
                <w:rFonts w:ascii="ＭＳ 明朝" w:hAnsi="ＭＳ 明朝" w:eastAsia="ＭＳ 明朝"/>
                <w:b w:val="0"/>
                <w:sz w:val="18"/>
              </w:rPr>
              <w:t>14.9㎥</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1,880</w:t>
            </w:r>
          </w:p>
        </w:tc>
        <w:tc>
          <w:tcPr>
            <w:tcW w:type="dxa" w:w="1474"/>
          </w:tcPr>
          <w:p>
            <w:pPr>
              <w:spacing w:after="40"/>
              <w:jc w:val="right"/>
            </w:pPr>
            <w:r/>
            <w:r>
              <w:rPr>
                <w:rFonts w:ascii="ＭＳ 明朝" w:hAnsi="ＭＳ 明朝" w:eastAsia="ＭＳ 明朝"/>
                <w:b w:val="0"/>
                <w:sz w:val="18"/>
              </w:rPr>
              <w:t>3,208</w:t>
            </w:r>
          </w:p>
        </w:tc>
        <w:tc>
          <w:tcPr>
            <w:tcW w:type="dxa" w:w="1247"/>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1134"/>
          </w:tcPr>
          <w:p>
            <w:pPr>
              <w:spacing w:after="40"/>
              <w:jc w:val="center"/>
            </w:pPr>
            <w:r/>
            <w:r>
              <w:rPr>
                <w:rFonts w:ascii="ＭＳ 明朝" w:hAnsi="ＭＳ 明朝" w:eastAsia="ＭＳ 明朝"/>
                <w:b w:val="0"/>
                <w:sz w:val="18"/>
              </w:rPr>
              <w:t>28.7㎥</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3,550</w:t>
            </w:r>
          </w:p>
        </w:tc>
        <w:tc>
          <w:tcPr>
            <w:tcW w:type="dxa" w:w="1474"/>
          </w:tcPr>
          <w:p>
            <w:pPr>
              <w:spacing w:after="40"/>
              <w:jc w:val="right"/>
            </w:pPr>
            <w:r/>
            <w:r>
              <w:rPr>
                <w:rFonts w:ascii="ＭＳ 明朝" w:hAnsi="ＭＳ 明朝" w:eastAsia="ＭＳ 明朝"/>
                <w:b w:val="0"/>
                <w:sz w:val="18"/>
              </w:rPr>
              <w:t>6,362</w:t>
            </w:r>
          </w:p>
        </w:tc>
        <w:tc>
          <w:tcPr>
            <w:tcW w:type="dxa" w:w="1247"/>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1134"/>
          </w:tcPr>
          <w:p>
            <w:pPr>
              <w:spacing w:after="40"/>
              <w:jc w:val="center"/>
            </w:pPr>
            <w:r/>
            <w:r>
              <w:rPr>
                <w:rFonts w:ascii="ＭＳ 明朝" w:hAnsi="ＭＳ 明朝" w:eastAsia="ＭＳ 明朝"/>
                <w:b w:val="0"/>
                <w:sz w:val="18"/>
              </w:rPr>
              <w:t>71.6㎥</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8,774</w:t>
            </w:r>
          </w:p>
        </w:tc>
        <w:tc>
          <w:tcPr>
            <w:tcW w:type="dxa" w:w="1474"/>
          </w:tcPr>
          <w:p>
            <w:pPr>
              <w:spacing w:after="40"/>
              <w:jc w:val="right"/>
            </w:pPr>
            <w:r/>
            <w:r>
              <w:rPr>
                <w:rFonts w:ascii="ＭＳ 明朝" w:hAnsi="ＭＳ 明朝" w:eastAsia="ＭＳ 明朝"/>
                <w:b w:val="0"/>
                <w:sz w:val="18"/>
              </w:rPr>
              <w:t>18,510</w:t>
            </w:r>
          </w:p>
        </w:tc>
        <w:tc>
          <w:tcPr>
            <w:tcW w:type="dxa" w:w="1247"/>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1134"/>
          </w:tcPr>
          <w:p>
            <w:pPr>
              <w:spacing w:after="40"/>
              <w:jc w:val="center"/>
            </w:pPr>
            <w:r/>
            <w:r>
              <w:rPr>
                <w:rFonts w:ascii="ＭＳ 明朝" w:hAnsi="ＭＳ 明朝" w:eastAsia="ＭＳ 明朝"/>
                <w:b w:val="0"/>
                <w:sz w:val="18"/>
              </w:rPr>
              <w:t>197.5㎥</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22,935</w:t>
            </w:r>
          </w:p>
        </w:tc>
        <w:tc>
          <w:tcPr>
            <w:tcW w:type="dxa" w:w="1474"/>
          </w:tcPr>
          <w:p>
            <w:pPr>
              <w:spacing w:after="40"/>
              <w:jc w:val="right"/>
            </w:pPr>
            <w:r/>
            <w:r>
              <w:rPr>
                <w:rFonts w:ascii="ＭＳ 明朝" w:hAnsi="ＭＳ 明朝" w:eastAsia="ＭＳ 明朝"/>
                <w:b w:val="0"/>
                <w:sz w:val="18"/>
              </w:rPr>
              <w:t>57,172</w:t>
            </w:r>
          </w:p>
        </w:tc>
        <w:tc>
          <w:tcPr>
            <w:tcW w:type="dxa" w:w="1247"/>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1134"/>
          </w:tcPr>
          <w:p>
            <w:pPr>
              <w:spacing w:after="40"/>
              <w:jc w:val="center"/>
            </w:pPr>
            <w:r/>
            <w:r>
              <w:rPr>
                <w:rFonts w:ascii="ＭＳ 明朝" w:hAnsi="ＭＳ 明朝" w:eastAsia="ＭＳ 明朝"/>
                <w:b w:val="0"/>
                <w:sz w:val="18"/>
              </w:rPr>
              <w:t>1030.5㎥</w:t>
            </w:r>
          </w:p>
        </w:tc>
        <w:tc>
          <w:tcPr>
            <w:tcW w:type="dxa" w:w="1077"/>
          </w:tcPr>
          <w:p>
            <w:pPr>
              <w:spacing w:after="40"/>
              <w:jc w:val="center"/>
            </w:pPr>
            <w:r/>
            <w:r>
              <w:rPr>
                <w:rFonts w:ascii="ＭＳ 明朝" w:hAnsi="ＭＳ 明朝" w:eastAsia="ＭＳ 明朝"/>
                <w:b w:val="0"/>
                <w:sz w:val="18"/>
              </w:rPr>
              <w:t>50mm</w:t>
            </w:r>
          </w:p>
        </w:tc>
        <w:tc>
          <w:tcPr>
            <w:tcW w:type="dxa" w:w="1474"/>
          </w:tcPr>
          <w:p>
            <w:pPr>
              <w:spacing w:after="40"/>
              <w:jc w:val="right"/>
            </w:pPr>
            <w:r/>
            <w:r>
              <w:rPr>
                <w:rFonts w:ascii="ＭＳ 明朝" w:hAnsi="ＭＳ 明朝" w:eastAsia="ＭＳ 明朝"/>
                <w:b w:val="0"/>
                <w:sz w:val="18"/>
              </w:rPr>
              <w:t>115,335</w:t>
            </w:r>
          </w:p>
        </w:tc>
        <w:tc>
          <w:tcPr>
            <w:tcW w:type="dxa" w:w="1474"/>
          </w:tcPr>
          <w:p>
            <w:pPr>
              <w:spacing w:after="40"/>
              <w:jc w:val="right"/>
            </w:pPr>
            <w:r/>
            <w:r>
              <w:rPr>
                <w:rFonts w:ascii="ＭＳ 明朝" w:hAnsi="ＭＳ 明朝" w:eastAsia="ＭＳ 明朝"/>
                <w:b w:val="0"/>
                <w:sz w:val="18"/>
              </w:rPr>
              <w:t>329,529</w:t>
            </w:r>
          </w:p>
        </w:tc>
        <w:tc>
          <w:tcPr>
            <w:tcW w:type="dxa" w:w="1247"/>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各ゾーンに代表口径を1つ割り当てた試算による。実際には同じ水量帯にも複数の口径が存在するため、個々の使用者の倍率は本表と異なる。</w:t>
      </w:r>
    </w:p>
    <w:p>
      <w:pPr>
        <w:spacing w:before="180" w:after="80"/>
      </w:pPr>
      <w:r>
        <w:rPr>
          <w:rFonts w:ascii="ＭＳ ゴシック" w:hAnsi="ＭＳ ゴシック" w:eastAsia="ＭＳ ゴシック"/>
          <w:b/>
          <w:color w:val="C55A11"/>
          <w:sz w:val="21"/>
        </w:rPr>
        <w:t>（3）口径と使用水量の組合せによる現行比</w:t>
      </w:r>
    </w:p>
    <w:p>
      <w:pPr>
        <w:spacing w:after="120" w:line="276" w:lineRule="auto"/>
      </w:pPr>
      <w:r>
        <w:rPr>
          <w:rFonts w:ascii="ＭＳ 明朝" w:hAnsi="ＭＳ 明朝" w:eastAsia="ＭＳ 明朝"/>
          <w:b w:val="0"/>
          <w:sz w:val="21"/>
        </w:rPr>
        <w:t>3-Aの負担倍率は、使用水量だけでなく口径によって大きく変わる。同じ水量でも口径が大きいほど倍率が高く、同じ口径でも水量が多いほど倍率が高くなる。</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64"/>
            <w:shd w:val="clear" w:fill="2E75B6"/>
          </w:tcPr>
          <w:p>
            <w:pPr>
              <w:spacing w:after="40"/>
              <w:jc w:val="center"/>
            </w:pPr>
            <w:r/>
            <w:r>
              <w:rPr>
                <w:rFonts w:ascii="ＭＳ ゴシック" w:hAnsi="ＭＳ ゴシック" w:eastAsia="ＭＳ ゴシック"/>
                <w:b/>
                <w:color w:val="FFFFFF"/>
                <w:sz w:val="17"/>
              </w:rPr>
              <w:t>口径</w:t>
            </w:r>
          </w:p>
        </w:tc>
        <w:tc>
          <w:tcPr>
            <w:tcW w:type="dxa" w:w="964"/>
            <w:shd w:val="clear" w:fill="2E75B6"/>
          </w:tcPr>
          <w:p>
            <w:pPr>
              <w:spacing w:after="40"/>
              <w:jc w:val="center"/>
            </w:pPr>
            <w:r/>
            <w:r>
              <w:rPr>
                <w:rFonts w:ascii="ＭＳ ゴシック" w:hAnsi="ＭＳ ゴシック" w:eastAsia="ＭＳ ゴシック"/>
                <w:b/>
                <w:color w:val="FFFFFF"/>
                <w:sz w:val="17"/>
              </w:rPr>
              <w:t>0㎥</w:t>
            </w:r>
          </w:p>
        </w:tc>
        <w:tc>
          <w:tcPr>
            <w:tcW w:type="dxa" w:w="964"/>
            <w:shd w:val="clear" w:fill="2E75B6"/>
          </w:tcPr>
          <w:p>
            <w:pPr>
              <w:spacing w:after="40"/>
              <w:jc w:val="center"/>
            </w:pPr>
            <w:r/>
            <w:r>
              <w:rPr>
                <w:rFonts w:ascii="ＭＳ ゴシック" w:hAnsi="ＭＳ ゴシック" w:eastAsia="ＭＳ ゴシック"/>
                <w:b/>
                <w:color w:val="FFFFFF"/>
                <w:sz w:val="17"/>
              </w:rPr>
              <w:t>5㎥</w:t>
            </w:r>
          </w:p>
        </w:tc>
        <w:tc>
          <w:tcPr>
            <w:tcW w:type="dxa" w:w="964"/>
            <w:shd w:val="clear" w:fill="2E75B6"/>
          </w:tcPr>
          <w:p>
            <w:pPr>
              <w:spacing w:after="40"/>
              <w:jc w:val="center"/>
            </w:pPr>
            <w:r/>
            <w:r>
              <w:rPr>
                <w:rFonts w:ascii="ＭＳ ゴシック" w:hAnsi="ＭＳ ゴシック" w:eastAsia="ＭＳ ゴシック"/>
                <w:b/>
                <w:color w:val="FFFFFF"/>
                <w:sz w:val="17"/>
              </w:rPr>
              <w:t>10㎥</w:t>
            </w:r>
          </w:p>
        </w:tc>
        <w:tc>
          <w:tcPr>
            <w:tcW w:type="dxa" w:w="964"/>
            <w:shd w:val="clear" w:fill="2E75B6"/>
          </w:tcPr>
          <w:p>
            <w:pPr>
              <w:spacing w:after="40"/>
              <w:jc w:val="center"/>
            </w:pPr>
            <w:r/>
            <w:r>
              <w:rPr>
                <w:rFonts w:ascii="ＭＳ ゴシック" w:hAnsi="ＭＳ ゴシック" w:eastAsia="ＭＳ ゴシック"/>
                <w:b/>
                <w:color w:val="FFFFFF"/>
                <w:sz w:val="17"/>
              </w:rPr>
              <w:t>20㎥</w:t>
            </w:r>
          </w:p>
        </w:tc>
        <w:tc>
          <w:tcPr>
            <w:tcW w:type="dxa" w:w="964"/>
            <w:shd w:val="clear" w:fill="2E75B6"/>
          </w:tcPr>
          <w:p>
            <w:pPr>
              <w:spacing w:after="40"/>
              <w:jc w:val="center"/>
            </w:pPr>
            <w:r/>
            <w:r>
              <w:rPr>
                <w:rFonts w:ascii="ＭＳ ゴシック" w:hAnsi="ＭＳ ゴシック" w:eastAsia="ＭＳ ゴシック"/>
                <w:b/>
                <w:color w:val="FFFFFF"/>
                <w:sz w:val="17"/>
              </w:rPr>
              <w:t>50㎥</w:t>
            </w:r>
          </w:p>
        </w:tc>
        <w:tc>
          <w:tcPr>
            <w:tcW w:type="dxa" w:w="964"/>
            <w:shd w:val="clear" w:fill="2E75B6"/>
          </w:tcPr>
          <w:p>
            <w:pPr>
              <w:spacing w:after="40"/>
              <w:jc w:val="center"/>
            </w:pPr>
            <w:r/>
            <w:r>
              <w:rPr>
                <w:rFonts w:ascii="ＭＳ ゴシック" w:hAnsi="ＭＳ ゴシック" w:eastAsia="ＭＳ ゴシック"/>
                <w:b/>
                <w:color w:val="FFFFFF"/>
                <w:sz w:val="17"/>
              </w:rPr>
              <w:t>100㎥</w:t>
            </w:r>
          </w:p>
        </w:tc>
        <w:tc>
          <w:tcPr>
            <w:tcW w:type="dxa" w:w="964"/>
            <w:shd w:val="clear" w:fill="2E75B6"/>
          </w:tcPr>
          <w:p>
            <w:pPr>
              <w:spacing w:after="40"/>
              <w:jc w:val="center"/>
            </w:pPr>
            <w:r/>
            <w:r>
              <w:rPr>
                <w:rFonts w:ascii="ＭＳ ゴシック" w:hAnsi="ＭＳ ゴシック" w:eastAsia="ＭＳ ゴシック"/>
                <w:b/>
                <w:color w:val="FFFFFF"/>
                <w:sz w:val="17"/>
              </w:rPr>
              <w:t>200㎥</w:t>
            </w:r>
          </w:p>
        </w:tc>
        <w:tc>
          <w:tcPr>
            <w:tcW w:type="dxa" w:w="964"/>
            <w:shd w:val="clear" w:fill="2E75B6"/>
          </w:tcPr>
          <w:p>
            <w:pPr>
              <w:spacing w:after="40"/>
              <w:jc w:val="center"/>
            </w:pPr>
            <w:r/>
            <w:r>
              <w:rPr>
                <w:rFonts w:ascii="ＭＳ ゴシック" w:hAnsi="ＭＳ ゴシック" w:eastAsia="ＭＳ ゴシック"/>
                <w:b/>
                <w:color w:val="FFFFFF"/>
                <w:sz w:val="17"/>
              </w:rPr>
              <w:t>500㎥</w:t>
            </w:r>
          </w:p>
        </w:tc>
        <w:tc>
          <w:tcPr>
            <w:tcW w:type="dxa" w:w="964"/>
            <w:shd w:val="clear" w:fill="2E75B6"/>
          </w:tcPr>
          <w:p>
            <w:pPr>
              <w:spacing w:after="40"/>
              <w:jc w:val="center"/>
            </w:pPr>
            <w:r/>
            <w:r>
              <w:rPr>
                <w:rFonts w:ascii="ＭＳ ゴシック" w:hAnsi="ＭＳ ゴシック" w:eastAsia="ＭＳ ゴシック"/>
                <w:b/>
                <w:color w:val="FFFFFF"/>
                <w:sz w:val="17"/>
              </w:rPr>
              <w:t>1,000㎥</w:t>
            </w:r>
          </w:p>
        </w:tc>
      </w:tr>
      <w:tr>
        <w:tc>
          <w:tcPr>
            <w:tcW w:type="dxa" w:w="964"/>
          </w:tcPr>
          <w:p>
            <w:pPr>
              <w:spacing w:after="40"/>
              <w:jc w:val="left"/>
            </w:pPr>
            <w:r/>
            <w:r>
              <w:rPr>
                <w:rFonts w:ascii="ＭＳ 明朝" w:hAnsi="ＭＳ 明朝" w:eastAsia="ＭＳ 明朝"/>
                <w:b w:val="0"/>
                <w:sz w:val="17"/>
              </w:rPr>
              <w:t>13mm</w:t>
            </w:r>
          </w:p>
        </w:tc>
        <w:tc>
          <w:tcPr>
            <w:tcW w:type="dxa" w:w="964"/>
          </w:tcPr>
          <w:p>
            <w:pPr>
              <w:spacing w:after="40"/>
              <w:jc w:val="center"/>
            </w:pPr>
            <w:r/>
            <w:r>
              <w:rPr>
                <w:rFonts w:ascii="ＭＳ 明朝" w:hAnsi="ＭＳ 明朝" w:eastAsia="ＭＳ 明朝"/>
                <w:b w:val="0"/>
                <w:sz w:val="17"/>
              </w:rPr>
              <w:t>0.72倍</w:t>
            </w:r>
          </w:p>
        </w:tc>
        <w:tc>
          <w:tcPr>
            <w:tcW w:type="dxa" w:w="964"/>
          </w:tcPr>
          <w:p>
            <w:pPr>
              <w:spacing w:after="40"/>
              <w:jc w:val="center"/>
            </w:pPr>
            <w:r/>
            <w:r>
              <w:rPr>
                <w:rFonts w:ascii="ＭＳ 明朝" w:hAnsi="ＭＳ 明朝" w:eastAsia="ＭＳ 明朝"/>
                <w:b w:val="0"/>
                <w:sz w:val="17"/>
              </w:rPr>
              <w:t>1.15倍</w:t>
            </w:r>
          </w:p>
        </w:tc>
        <w:tc>
          <w:tcPr>
            <w:tcW w:type="dxa" w:w="964"/>
          </w:tcPr>
          <w:p>
            <w:pPr>
              <w:spacing w:after="40"/>
              <w:jc w:val="center"/>
            </w:pPr>
            <w:r/>
            <w:r>
              <w:rPr>
                <w:rFonts w:ascii="ＭＳ 明朝" w:hAnsi="ＭＳ 明朝" w:eastAsia="ＭＳ 明朝"/>
                <w:b w:val="0"/>
                <w:sz w:val="17"/>
              </w:rPr>
              <w:t>1.30倍</w:t>
            </w:r>
          </w:p>
        </w:tc>
        <w:tc>
          <w:tcPr>
            <w:tcW w:type="dxa" w:w="964"/>
          </w:tcPr>
          <w:p>
            <w:pPr>
              <w:spacing w:after="40"/>
              <w:jc w:val="center"/>
            </w:pPr>
            <w:r/>
            <w:r>
              <w:rPr>
                <w:rFonts w:ascii="ＭＳ 明朝" w:hAnsi="ＭＳ 明朝" w:eastAsia="ＭＳ 明朝"/>
                <w:b w:val="0"/>
                <w:sz w:val="17"/>
              </w:rPr>
              <w:t>1.42倍</w:t>
            </w:r>
          </w:p>
        </w:tc>
        <w:tc>
          <w:tcPr>
            <w:tcW w:type="dxa" w:w="964"/>
          </w:tcPr>
          <w:p>
            <w:pPr>
              <w:spacing w:after="40"/>
              <w:jc w:val="center"/>
            </w:pPr>
            <w:r/>
            <w:r>
              <w:rPr>
                <w:rFonts w:ascii="ＭＳ 明朝" w:hAnsi="ＭＳ 明朝" w:eastAsia="ＭＳ 明朝"/>
                <w:b w:val="0"/>
                <w:sz w:val="17"/>
              </w:rPr>
              <w:t>1.82倍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2.44倍</w:t>
            </w:r>
          </w:p>
        </w:tc>
        <w:tc>
          <w:tcPr>
            <w:tcW w:type="dxa" w:w="964"/>
          </w:tcPr>
          <w:p>
            <w:pPr>
              <w:spacing w:after="40"/>
              <w:jc w:val="center"/>
            </w:pPr>
            <w:r/>
            <w:r>
              <w:rPr>
                <w:rFonts w:ascii="ＭＳ 明朝" w:hAnsi="ＭＳ 明朝" w:eastAsia="ＭＳ 明朝"/>
                <w:b w:val="0"/>
                <w:sz w:val="17"/>
              </w:rPr>
              <w:t>2.70倍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20mm</w:t>
            </w:r>
          </w:p>
        </w:tc>
        <w:tc>
          <w:tcPr>
            <w:tcW w:type="dxa" w:w="964"/>
          </w:tcPr>
          <w:p>
            <w:pPr>
              <w:spacing w:after="40"/>
              <w:jc w:val="center"/>
            </w:pPr>
            <w:r/>
            <w:r>
              <w:rPr>
                <w:rFonts w:ascii="ＭＳ 明朝" w:hAnsi="ＭＳ 明朝" w:eastAsia="ＭＳ 明朝"/>
                <w:b w:val="0"/>
                <w:sz w:val="17"/>
              </w:rPr>
              <w:t>1.31倍</w:t>
            </w:r>
          </w:p>
        </w:tc>
        <w:tc>
          <w:tcPr>
            <w:tcW w:type="dxa" w:w="964"/>
          </w:tcPr>
          <w:p>
            <w:pPr>
              <w:spacing w:after="40"/>
              <w:jc w:val="center"/>
            </w:pPr>
            <w:r/>
            <w:r>
              <w:rPr>
                <w:rFonts w:ascii="ＭＳ 明朝" w:hAnsi="ＭＳ 明朝" w:eastAsia="ＭＳ 明朝"/>
                <w:b w:val="0"/>
                <w:sz w:val="17"/>
              </w:rPr>
              <w:t>1.73倍</w:t>
            </w:r>
          </w:p>
        </w:tc>
        <w:tc>
          <w:tcPr>
            <w:tcW w:type="dxa" w:w="964"/>
          </w:tcPr>
          <w:p>
            <w:pPr>
              <w:spacing w:after="40"/>
              <w:jc w:val="center"/>
            </w:pPr>
            <w:r/>
            <w:r>
              <w:rPr>
                <w:rFonts w:ascii="ＭＳ 明朝" w:hAnsi="ＭＳ 明朝" w:eastAsia="ＭＳ 明朝"/>
                <w:b w:val="0"/>
                <w:sz w:val="17"/>
              </w:rPr>
              <w:t>1.78倍</w:t>
            </w:r>
          </w:p>
        </w:tc>
        <w:tc>
          <w:tcPr>
            <w:tcW w:type="dxa" w:w="964"/>
          </w:tcPr>
          <w:p>
            <w:pPr>
              <w:spacing w:after="40"/>
              <w:jc w:val="center"/>
            </w:pPr>
            <w:r/>
            <w:r>
              <w:rPr>
                <w:rFonts w:ascii="ＭＳ 明朝" w:hAnsi="ＭＳ 明朝" w:eastAsia="ＭＳ 明朝"/>
                <w:b w:val="0"/>
                <w:sz w:val="17"/>
              </w:rPr>
              <w:t>1.67倍</w:t>
            </w:r>
          </w:p>
        </w:tc>
        <w:tc>
          <w:tcPr>
            <w:tcW w:type="dxa" w:w="964"/>
          </w:tcPr>
          <w:p>
            <w:pPr>
              <w:spacing w:after="40"/>
              <w:jc w:val="center"/>
            </w:pPr>
            <w:r/>
            <w:r>
              <w:rPr>
                <w:rFonts w:ascii="ＭＳ 明朝" w:hAnsi="ＭＳ 明朝" w:eastAsia="ＭＳ 明朝"/>
                <w:b w:val="0"/>
                <w:sz w:val="17"/>
              </w:rPr>
              <w:t>1.92倍</w:t>
            </w:r>
          </w:p>
        </w:tc>
        <w:tc>
          <w:tcPr>
            <w:tcW w:type="dxa" w:w="964"/>
          </w:tcPr>
          <w:p>
            <w:pPr>
              <w:spacing w:after="40"/>
              <w:jc w:val="center"/>
            </w:pPr>
            <w:r/>
            <w:r>
              <w:rPr>
                <w:rFonts w:ascii="ＭＳ 明朝" w:hAnsi="ＭＳ 明朝" w:eastAsia="ＭＳ 明朝"/>
                <w:b w:val="0"/>
                <w:sz w:val="17"/>
              </w:rPr>
              <w:t>2.09倍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2.71倍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25mm</w:t>
            </w:r>
          </w:p>
        </w:tc>
        <w:tc>
          <w:tcPr>
            <w:tcW w:type="dxa" w:w="964"/>
          </w:tcPr>
          <w:p>
            <w:pPr>
              <w:spacing w:after="40"/>
              <w:jc w:val="center"/>
            </w:pPr>
            <w:r/>
            <w:r>
              <w:rPr>
                <w:rFonts w:ascii="ＭＳ 明朝" w:hAnsi="ＭＳ 明朝" w:eastAsia="ＭＳ 明朝"/>
                <w:b w:val="0"/>
                <w:sz w:val="17"/>
              </w:rPr>
              <w:t>2.05倍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2.38倍</w:t>
            </w:r>
          </w:p>
        </w:tc>
        <w:tc>
          <w:tcPr>
            <w:tcW w:type="dxa" w:w="964"/>
          </w:tcPr>
          <w:p>
            <w:pPr>
              <w:spacing w:after="40"/>
              <w:jc w:val="center"/>
            </w:pPr>
            <w:r/>
            <w:r>
              <w:rPr>
                <w:rFonts w:ascii="ＭＳ 明朝" w:hAnsi="ＭＳ 明朝" w:eastAsia="ＭＳ 明朝"/>
                <w:b w:val="0"/>
                <w:sz w:val="17"/>
              </w:rPr>
              <w:t>1.99倍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2.15倍</w:t>
            </w:r>
          </w:p>
        </w:tc>
        <w:tc>
          <w:tcPr>
            <w:tcW w:type="dxa" w:w="964"/>
          </w:tcPr>
          <w:p>
            <w:pPr>
              <w:spacing w:after="40"/>
              <w:jc w:val="center"/>
            </w:pPr>
            <w:r/>
            <w:r>
              <w:rPr>
                <w:rFonts w:ascii="ＭＳ 明朝" w:hAnsi="ＭＳ 明朝" w:eastAsia="ＭＳ 明朝"/>
                <w:b w:val="0"/>
                <w:sz w:val="17"/>
              </w:rPr>
              <w:t>2.50倍</w:t>
            </w:r>
          </w:p>
        </w:tc>
        <w:tc>
          <w:tcPr>
            <w:tcW w:type="dxa" w:w="964"/>
          </w:tcPr>
          <w:p>
            <w:pPr>
              <w:spacing w:after="40"/>
              <w:jc w:val="center"/>
            </w:pPr>
            <w:r/>
            <w:r>
              <w:rPr>
                <w:rFonts w:ascii="ＭＳ 明朝" w:hAnsi="ＭＳ 明朝" w:eastAsia="ＭＳ 明朝"/>
                <w:b w:val="0"/>
                <w:sz w:val="17"/>
              </w:rPr>
              <w:t>2.72倍</w:t>
            </w:r>
          </w:p>
        </w:tc>
        <w:tc>
          <w:tcPr>
            <w:tcW w:type="dxa" w:w="964"/>
          </w:tcPr>
          <w:p>
            <w:pPr>
              <w:spacing w:after="40"/>
              <w:jc w:val="center"/>
            </w:pPr>
            <w:r/>
            <w:r>
              <w:rPr>
                <w:rFonts w:ascii="ＭＳ 明朝" w:hAnsi="ＭＳ 明朝" w:eastAsia="ＭＳ 明朝"/>
                <w:b w:val="0"/>
                <w:sz w:val="17"/>
              </w:rPr>
              <w:t>2.80倍</w:t>
            </w:r>
          </w:p>
        </w:tc>
      </w:tr>
      <w:tr>
        <w:tc>
          <w:tcPr>
            <w:tcW w:type="dxa" w:w="964"/>
          </w:tcPr>
          <w:p>
            <w:pPr>
              <w:spacing w:after="40"/>
              <w:jc w:val="left"/>
            </w:pPr>
            <w:r/>
            <w:r>
              <w:rPr>
                <w:rFonts w:ascii="ＭＳ 明朝" w:hAnsi="ＭＳ 明朝" w:eastAsia="ＭＳ 明朝"/>
                <w:b w:val="0"/>
                <w:sz w:val="17"/>
              </w:rPr>
              <w:t>40mm</w:t>
            </w:r>
          </w:p>
        </w:tc>
        <w:tc>
          <w:tcPr>
            <w:tcW w:type="dxa" w:w="964"/>
          </w:tcPr>
          <w:p>
            <w:pPr>
              <w:spacing w:after="40"/>
              <w:jc w:val="center"/>
            </w:pPr>
            <w:r/>
            <w:r>
              <w:rPr>
                <w:rFonts w:ascii="ＭＳ 明朝" w:hAnsi="ＭＳ 明朝" w:eastAsia="ＭＳ 明朝"/>
                <w:b w:val="0"/>
                <w:sz w:val="17"/>
              </w:rPr>
              <w:t>4.44倍</w:t>
            </w:r>
          </w:p>
        </w:tc>
        <w:tc>
          <w:tcPr>
            <w:tcW w:type="dxa" w:w="964"/>
          </w:tcPr>
          <w:p>
            <w:pPr>
              <w:spacing w:after="40"/>
              <w:jc w:val="center"/>
            </w:pPr>
            <w:r/>
            <w:r>
              <w:rPr>
                <w:rFonts w:ascii="ＭＳ 明朝" w:hAnsi="ＭＳ 明朝" w:eastAsia="ＭＳ 明朝"/>
                <w:b w:val="0"/>
                <w:sz w:val="17"/>
              </w:rPr>
              <w:t>4.81倍</w:t>
            </w:r>
          </w:p>
        </w:tc>
        <w:tc>
          <w:tcPr>
            <w:tcW w:type="dxa" w:w="964"/>
          </w:tcPr>
          <w:p>
            <w:pPr>
              <w:spacing w:after="40"/>
              <w:jc w:val="center"/>
            </w:pPr>
            <w:r/>
            <w:r>
              <w:rPr>
                <w:rFonts w:ascii="ＭＳ 明朝" w:hAnsi="ＭＳ 明朝" w:eastAsia="ＭＳ 明朝"/>
                <w:b w:val="0"/>
                <w:sz w:val="17"/>
              </w:rPr>
              <w:t>4.38倍</w:t>
            </w:r>
          </w:p>
        </w:tc>
        <w:tc>
          <w:tcPr>
            <w:tcW w:type="dxa" w:w="964"/>
          </w:tcPr>
          <w:p>
            <w:pPr>
              <w:spacing w:after="40"/>
              <w:jc w:val="center"/>
            </w:pPr>
            <w:r/>
            <w:r>
              <w:rPr>
                <w:rFonts w:ascii="ＭＳ 明朝" w:hAnsi="ＭＳ 明朝" w:eastAsia="ＭＳ 明朝"/>
                <w:b w:val="0"/>
                <w:sz w:val="17"/>
              </w:rPr>
              <w:t>3.08倍</w:t>
            </w:r>
          </w:p>
        </w:tc>
        <w:tc>
          <w:tcPr>
            <w:tcW w:type="dxa" w:w="964"/>
          </w:tcPr>
          <w:p>
            <w:pPr>
              <w:spacing w:after="40"/>
              <w:jc w:val="center"/>
            </w:pPr>
            <w:r/>
            <w:r>
              <w:rPr>
                <w:rFonts w:ascii="ＭＳ 明朝" w:hAnsi="ＭＳ 明朝" w:eastAsia="ＭＳ 明朝"/>
                <w:b w:val="0"/>
                <w:sz w:val="17"/>
              </w:rPr>
              <w:t>2.51倍</w:t>
            </w:r>
          </w:p>
        </w:tc>
        <w:tc>
          <w:tcPr>
            <w:tcW w:type="dxa" w:w="964"/>
          </w:tcPr>
          <w:p>
            <w:pPr>
              <w:spacing w:after="40"/>
              <w:jc w:val="center"/>
            </w:pPr>
            <w:r/>
            <w:r>
              <w:rPr>
                <w:rFonts w:ascii="ＭＳ 明朝" w:hAnsi="ＭＳ 明朝" w:eastAsia="ＭＳ 明朝"/>
                <w:b w:val="0"/>
                <w:sz w:val="17"/>
              </w:rPr>
              <w:t>2.39倍</w:t>
            </w:r>
          </w:p>
        </w:tc>
        <w:tc>
          <w:tcPr>
            <w:tcW w:type="dxa" w:w="964"/>
          </w:tcPr>
          <w:p>
            <w:pPr>
              <w:spacing w:after="40"/>
              <w:jc w:val="center"/>
            </w:pPr>
            <w:r/>
            <w:r>
              <w:rPr>
                <w:rFonts w:ascii="ＭＳ 明朝" w:hAnsi="ＭＳ 明朝" w:eastAsia="ＭＳ 明朝"/>
                <w:b w:val="0"/>
                <w:sz w:val="17"/>
              </w:rPr>
              <w:t>2.62倍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r>
      <w:tr>
        <w:tc>
          <w:tcPr>
            <w:tcW w:type="dxa" w:w="964"/>
          </w:tcPr>
          <w:p>
            <w:pPr>
              <w:spacing w:after="40"/>
              <w:jc w:val="left"/>
            </w:pPr>
            <w:r/>
            <w:r>
              <w:rPr>
                <w:rFonts w:ascii="ＭＳ 明朝" w:hAnsi="ＭＳ 明朝" w:eastAsia="ＭＳ 明朝"/>
                <w:b w:val="0"/>
                <w:sz w:val="17"/>
              </w:rPr>
              <w:t>50mm</w:t>
            </w:r>
          </w:p>
        </w:tc>
        <w:tc>
          <w:tcPr>
            <w:tcW w:type="dxa" w:w="964"/>
          </w:tcPr>
          <w:p>
            <w:pPr>
              <w:spacing w:after="40"/>
              <w:jc w:val="center"/>
            </w:pPr>
            <w:r/>
            <w:r>
              <w:rPr>
                <w:rFonts w:ascii="ＭＳ 明朝" w:hAnsi="ＭＳ 明朝" w:eastAsia="ＭＳ 明朝"/>
                <w:b w:val="0"/>
                <w:sz w:val="17"/>
              </w:rPr>
              <w:t>5.74倍</w:t>
            </w:r>
          </w:p>
        </w:tc>
        <w:tc>
          <w:tcPr>
            <w:tcW w:type="dxa" w:w="964"/>
          </w:tcPr>
          <w:p>
            <w:pPr>
              <w:spacing w:after="40"/>
              <w:jc w:val="center"/>
            </w:pPr>
            <w:r/>
            <w:r>
              <w:rPr>
                <w:rFonts w:ascii="ＭＳ 明朝" w:hAnsi="ＭＳ 明朝" w:eastAsia="ＭＳ 明朝"/>
                <w:b w:val="0"/>
                <w:sz w:val="17"/>
              </w:rPr>
              <w:t>5.98倍</w:t>
            </w:r>
          </w:p>
        </w:tc>
        <w:tc>
          <w:tcPr>
            <w:tcW w:type="dxa" w:w="964"/>
          </w:tcPr>
          <w:p>
            <w:pPr>
              <w:spacing w:after="40"/>
              <w:jc w:val="center"/>
            </w:pPr>
            <w:r/>
            <w:r>
              <w:rPr>
                <w:rFonts w:ascii="ＭＳ 明朝" w:hAnsi="ＭＳ 明朝" w:eastAsia="ＭＳ 明朝"/>
                <w:b w:val="0"/>
                <w:sz w:val="17"/>
              </w:rPr>
              <w:t>5.56倍</w:t>
            </w:r>
          </w:p>
        </w:tc>
        <w:tc>
          <w:tcPr>
            <w:tcW w:type="dxa" w:w="964"/>
          </w:tcPr>
          <w:p>
            <w:pPr>
              <w:spacing w:after="40"/>
              <w:jc w:val="center"/>
            </w:pPr>
            <w:r/>
            <w:r>
              <w:rPr>
                <w:rFonts w:ascii="ＭＳ 明朝" w:hAnsi="ＭＳ 明朝" w:eastAsia="ＭＳ 明朝"/>
                <w:b w:val="0"/>
                <w:sz w:val="17"/>
              </w:rPr>
              <w:t>4.09倍</w:t>
            </w:r>
          </w:p>
        </w:tc>
        <w:tc>
          <w:tcPr>
            <w:tcW w:type="dxa" w:w="964"/>
          </w:tcPr>
          <w:p>
            <w:pPr>
              <w:spacing w:after="40"/>
              <w:jc w:val="center"/>
            </w:pPr>
            <w:r/>
            <w:r>
              <w:rPr>
                <w:rFonts w:ascii="ＭＳ 明朝" w:hAnsi="ＭＳ 明朝" w:eastAsia="ＭＳ 明朝"/>
                <w:b w:val="0"/>
                <w:sz w:val="17"/>
              </w:rPr>
              <w:t>3.04倍</w:t>
            </w:r>
          </w:p>
        </w:tc>
        <w:tc>
          <w:tcPr>
            <w:tcW w:type="dxa" w:w="964"/>
          </w:tcPr>
          <w:p>
            <w:pPr>
              <w:spacing w:after="40"/>
              <w:jc w:val="center"/>
            </w:pPr>
            <w:r/>
            <w:r>
              <w:rPr>
                <w:rFonts w:ascii="ＭＳ 明朝" w:hAnsi="ＭＳ 明朝" w:eastAsia="ＭＳ 明朝"/>
                <w:b w:val="0"/>
                <w:sz w:val="17"/>
              </w:rPr>
              <w:t>2.68倍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c>
          <w:tcPr>
            <w:tcW w:type="dxa" w:w="964"/>
          </w:tcPr>
          <w:p>
            <w:pPr>
              <w:spacing w:after="40"/>
              <w:jc w:val="center"/>
            </w:pPr>
            <w:r/>
            <w:r>
              <w:rPr>
                <w:rFonts w:ascii="ＭＳ 明朝" w:hAnsi="ＭＳ 明朝" w:eastAsia="ＭＳ 明朝"/>
                <w:b w:val="0"/>
                <w:sz w:val="17"/>
              </w:rPr>
              <w:t>2.86倍</w:t>
            </w:r>
          </w:p>
        </w:tc>
      </w:tr>
    </w:tbl>
    <w:p>
      <w:pPr>
        <w:spacing w:after="200" w:line="276" w:lineRule="auto"/>
      </w:pPr>
      <w:r>
        <w:rPr>
          <w:rFonts w:ascii="ＭＳ 明朝" w:hAnsi="ＭＳ 明朝" w:eastAsia="ＭＳ 明朝"/>
          <w:b w:val="0"/>
          <w:color w:val="595959"/>
          <w:sz w:val="17"/>
        </w:rPr>
        <w:t>※ 一般用として算定（税込）。現行は用途別基本料金にメーター使用料を加算した額。口径が大きく使用水量が少ない使用者ほど倍率が高くなる点に注意を要する。</w:t>
      </w:r>
    </w:p>
    <w:p>
      <w:pPr>
        <w:spacing w:before="180" w:after="80"/>
      </w:pPr>
      <w:r>
        <w:rPr>
          <w:rFonts w:ascii="ＭＳ ゴシック" w:hAnsi="ＭＳ ゴシック" w:eastAsia="ＭＳ ゴシック"/>
          <w:b/>
          <w:color w:val="C55A11"/>
          <w:sz w:val="21"/>
        </w:rPr>
        <w:t>（4）値下げとなる範囲</w:t>
      </w:r>
    </w:p>
    <w:p>
      <w:pPr>
        <w:pStyle w:val="ListBullet"/>
        <w:spacing w:after="60" w:line="269" w:lineRule="auto"/>
      </w:pPr>
      <w:r>
        <w:rPr>
          <w:rFonts w:ascii="ＭＳ 明朝" w:hAnsi="ＭＳ 明朝" w:eastAsia="ＭＳ 明朝"/>
          <w:sz w:val="21"/>
        </w:rPr>
        <w:t>★案3-Aで現行より下がるのは、13mm口径で月3㎥程度までの使用者に限られる。13mm口径では月3.3㎥付近が現行と同額となり、それを超えると現行より高くなる</w:t>
      </w:r>
    </w:p>
    <w:p>
      <w:pPr>
        <w:pStyle w:val="ListBullet"/>
        <w:spacing w:after="60" w:line="269" w:lineRule="auto"/>
      </w:pPr>
      <w:r>
        <w:rPr>
          <w:rFonts w:ascii="ＭＳ 明朝" w:hAnsi="ＭＳ 明朝" w:eastAsia="ＭＳ 明朝"/>
          <w:sz w:val="21"/>
        </w:rPr>
        <w:t>実使用がある少量使用者（月6〜10㎥）は、13mm口径でも1,265円から1,465円へ上がる。「10㎥以下は下がる」という整理は成り立たない</w:t>
      </w:r>
    </w:p>
    <w:p>
      <w:pPr>
        <w:pStyle w:val="ListBullet"/>
        <w:spacing w:after="60" w:line="269" w:lineRule="auto"/>
      </w:pPr>
      <w:r>
        <w:rPr>
          <w:rFonts w:ascii="ＭＳ 明朝" w:hAnsi="ＭＳ 明朝" w:eastAsia="ＭＳ 明朝"/>
          <w:sz w:val="21"/>
        </w:rPr>
        <w:t>20mm以上の口径では、使用水量が0㎥であっても現行より高くなる</w:t>
      </w:r>
    </w:p>
    <w:p>
      <w:pPr>
        <w:pStyle w:val="ListBullet"/>
        <w:spacing w:after="60" w:line="269" w:lineRule="auto"/>
      </w:pPr>
      <w:r>
        <w:rPr>
          <w:rFonts w:ascii="ＭＳ 明朝" w:hAnsi="ＭＳ 明朝" w:eastAsia="ＭＳ 明朝"/>
          <w:sz w:val="21"/>
        </w:rPr>
        <w:t>ゾーン別表で①②の平均が現行を下回るのは帯平均の結果であり、帯内の全ての使用者に当てはまるものではない</w:t>
      </w:r>
    </w:p>
    <w:p>
      <w:pPr>
        <w:pStyle w:val="ListBullet"/>
        <w:spacing w:after="60" w:line="269" w:lineRule="auto"/>
      </w:pPr>
      <w:r>
        <w:rPr>
          <w:rFonts w:ascii="ＭＳ 明朝" w:hAnsi="ＭＳ 明朝" w:eastAsia="ＭＳ 明朝"/>
          <w:sz w:val="21"/>
        </w:rPr>
        <w:t>値下げ・値上げの対象件数と増額帯別の件数は、実調定明細による集計を最終報告で示す</w:t>
      </w:r>
    </w:p>
    <w:p>
      <w:pPr>
        <w:spacing w:before="180" w:after="80"/>
      </w:pPr>
      <w:r>
        <w:rPr>
          <w:rFonts w:ascii="ＭＳ ゴシック" w:hAnsi="ＭＳ ゴシック" w:eastAsia="ＭＳ ゴシック"/>
          <w:b/>
          <w:color w:val="C55A11"/>
          <w:sz w:val="21"/>
        </w:rPr>
        <w:t>（5）この案の性質</w:t>
      </w:r>
    </w:p>
    <w:p>
      <w:pPr>
        <w:pStyle w:val="ListBullet"/>
        <w:spacing w:after="60" w:line="269" w:lineRule="auto"/>
      </w:pPr>
      <w:r>
        <w:rPr>
          <w:rFonts w:ascii="ＭＳ 明朝" w:hAnsi="ＭＳ 明朝" w:eastAsia="ＭＳ 明朝"/>
          <w:sz w:val="21"/>
        </w:rPr>
        <w:t>逓減の設定が廃止され、大量使用者ほど負担倍率が高くなる</w:t>
      </w:r>
    </w:p>
    <w:p>
      <w:pPr>
        <w:pStyle w:val="ListBullet"/>
        <w:spacing w:after="60" w:line="269" w:lineRule="auto"/>
      </w:pPr>
      <w:r>
        <w:rPr>
          <w:rFonts w:ascii="ＭＳ 明朝" w:hAnsi="ＭＳ 明朝" w:eastAsia="ＭＳ 明朝"/>
          <w:sz w:val="21"/>
        </w:rPr>
        <w:t>標準家庭（20mm・20㎥）は1.67倍で、現行体系を一律1.99倍にする場合より負担増が小さい</w:t>
      </w:r>
    </w:p>
    <w:p>
      <w:pPr>
        <w:pStyle w:val="ListBullet"/>
        <w:spacing w:after="60" w:line="269" w:lineRule="auto"/>
      </w:pPr>
      <w:r>
        <w:rPr>
          <w:rFonts w:ascii="ＭＳ 明朝" w:hAnsi="ＭＳ 明朝" w:eastAsia="ＭＳ 明朝"/>
          <w:sz w:val="21"/>
        </w:rPr>
        <w:t>一方、水産加工業の規模の大きい事業者は2.9倍前後となり、影響が集中する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8-3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に対する生産用水料金105円/㎥（税抜）という制度がある。ただし同制度は特定の協同組合への供給区分であり、「町内の指定業種で月500㎥以上」という要件の先例ではない。本報告の115円/㎥は、105円/㎥（税抜）に相当する115.5円/㎥（税込）を独自に丸めた設定値である。</w:t>
      </w:r>
    </w:p>
    <w:p>
      <w:pPr>
        <w:spacing w:after="80" w:line="276" w:lineRule="auto"/>
      </w:pPr>
      <w:r>
        <w:rPr>
          <w:rFonts w:ascii="ＭＳ 明朝" w:hAnsi="ＭＳ 明朝" w:eastAsia="ＭＳ 明朝"/>
          <w:b w:val="0"/>
          <w:color w:val="C00000"/>
          <w:sz w:val="21"/>
        </w:rPr>
        <w:t>次表は検討の出発点として置いた設定案であり、採用する制度案ではない。後述のとおり適用の境界に料金の逆転があり、町全体の減収額も算定していないため、本報告では未設計の参考仮定として扱う。住民・議会説明および条例化の対象とはし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設定案（未設計の参考仮定）</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sz w:val="19"/>
              </w:rPr>
              <w:t>適用方式</w:t>
            </w:r>
          </w:p>
        </w:tc>
        <w:tc>
          <w:tcPr>
            <w:tcW w:type="dxa" w:w="7427"/>
          </w:tcPr>
          <w:p>
            <w:pPr>
              <w:spacing w:after="40"/>
              <w:jc w:val="center"/>
            </w:pPr>
            <w:r/>
            <w:r>
              <w:rPr>
                <w:rFonts w:ascii="ＭＳ 明朝" w:hAnsi="ＭＳ 明朝" w:eastAsia="ＭＳ 明朝"/>
                <w:b/>
                <w:sz w:val="19"/>
              </w:rPr>
              <w:t>未決定。下記（1）の逆転を生じない方式を選定する</w:t>
            </w:r>
          </w:p>
        </w:tc>
      </w:tr>
      <w:tr>
        <w:tc>
          <w:tcPr>
            <w:tcW w:type="dxa" w:w="1928"/>
          </w:tcPr>
          <w:p>
            <w:pPr>
              <w:spacing w:after="40"/>
              <w:jc w:val="left"/>
            </w:pPr>
            <w:r/>
            <w:r>
              <w:rPr>
                <w:rFonts w:ascii="ＭＳ 明朝" w:hAnsi="ＭＳ 明朝" w:eastAsia="ＭＳ 明朝"/>
                <w:b/>
                <w:sz w:val="19"/>
              </w:rPr>
              <w:t>財政影響</w:t>
            </w:r>
          </w:p>
        </w:tc>
        <w:tc>
          <w:tcPr>
            <w:tcW w:type="dxa" w:w="7427"/>
          </w:tcPr>
          <w:p>
            <w:pPr>
              <w:spacing w:after="40"/>
              <w:jc w:val="center"/>
            </w:pPr>
            <w:r/>
            <w:r>
              <w:rPr>
                <w:rFonts w:ascii="ＭＳ 明朝" w:hAnsi="ＭＳ 明朝" w:eastAsia="ＭＳ 明朝"/>
                <w:b/>
                <w:sz w:val="19"/>
              </w:rPr>
              <w:t>算定していない。実使用水量の明細により対象者を特定したうえで算定する（5-7参照）</w:t>
            </w:r>
          </w:p>
        </w:tc>
      </w:tr>
    </w:tbl>
    <w:p>
      <w:pPr>
        <w:spacing w:after="80" w:line="276" w:lineRule="auto"/>
      </w:pPr>
    </w:p>
    <w:p>
      <w:pPr>
        <w:spacing w:before="180" w:after="80"/>
      </w:pPr>
      <w:r>
        <w:rPr>
          <w:rFonts w:ascii="ＭＳ ゴシック" w:hAnsi="ＭＳ ゴシック" w:eastAsia="ＭＳ ゴシック"/>
          <w:b/>
          <w:color w:val="C55A11"/>
          <w:sz w:val="21"/>
        </w:rPr>
        <w:t>（1）設定案の境界における逆転</w:t>
      </w:r>
    </w:p>
    <w:p>
      <w:pPr>
        <w:spacing w:after="120" w:line="276" w:lineRule="auto"/>
      </w:pPr>
      <w:r>
        <w:rPr>
          <w:rFonts w:ascii="ＭＳ 明朝" w:hAnsi="ＭＳ 明朝" w:eastAsia="ＭＳ 明朝"/>
          <w:b w:val="0"/>
          <w:sz w:val="21"/>
        </w:rPr>
        <w:t>上記の設定案には、適用の境界で料金が大きく下がるという問題がある。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474"/>
            <w:shd w:val="clear" w:fill="2E75B6"/>
          </w:tcPr>
          <w:p>
            <w:pPr>
              <w:spacing w:after="40"/>
              <w:jc w:val="center"/>
            </w:pPr>
            <w:r/>
            <w:r>
              <w:rPr>
                <w:rFonts w:ascii="ＭＳ ゴシック" w:hAnsi="ＭＳ ゴシック" w:eastAsia="ＭＳ ゴシック"/>
                <w:b/>
                <w:color w:val="FFFFFF"/>
                <w:sz w:val="19"/>
              </w:rPr>
              <w:t>口径</w:t>
            </w:r>
          </w:p>
        </w:tc>
        <w:tc>
          <w:tcPr>
            <w:tcW w:type="dxa" w:w="2154"/>
            <w:shd w:val="clear" w:fill="2E75B6"/>
          </w:tcPr>
          <w:p>
            <w:pPr>
              <w:spacing w:after="40"/>
              <w:jc w:val="center"/>
            </w:pPr>
            <w:r/>
            <w:r>
              <w:rPr>
                <w:rFonts w:ascii="ＭＳ ゴシック" w:hAnsi="ＭＳ ゴシック" w:eastAsia="ＭＳ ゴシック"/>
                <w:b/>
                <w:color w:val="FFFFFF"/>
                <w:sz w:val="19"/>
              </w:rPr>
              <w:t>月499㎥（3-A適用）</w:t>
            </w:r>
          </w:p>
        </w:tc>
        <w:tc>
          <w:tcPr>
            <w:tcW w:type="dxa" w:w="2154"/>
            <w:shd w:val="clear" w:fill="2E75B6"/>
          </w:tcPr>
          <w:p>
            <w:pPr>
              <w:spacing w:after="40"/>
              <w:jc w:val="center"/>
            </w:pPr>
            <w:r/>
            <w:r>
              <w:rPr>
                <w:rFonts w:ascii="ＭＳ ゴシック" w:hAnsi="ＭＳ ゴシック" w:eastAsia="ＭＳ ゴシック"/>
                <w:b/>
                <w:color w:val="FFFFFF"/>
                <w:sz w:val="19"/>
              </w:rPr>
              <w:t>月500㎥（特例適用）</w:t>
            </w:r>
          </w:p>
        </w:tc>
        <w:tc>
          <w:tcPr>
            <w:tcW w:type="dxa" w:w="1814"/>
            <w:shd w:val="clear" w:fill="2E75B6"/>
          </w:tcPr>
          <w:p>
            <w:pPr>
              <w:spacing w:after="40"/>
              <w:jc w:val="center"/>
            </w:pPr>
            <w:r/>
            <w:r>
              <w:rPr>
                <w:rFonts w:ascii="ＭＳ ゴシック" w:hAnsi="ＭＳ ゴシック" w:eastAsia="ＭＳ ゴシック"/>
                <w:b/>
                <w:color w:val="FFFFFF"/>
                <w:sz w:val="19"/>
              </w:rPr>
              <w:t>差額</w:t>
            </w:r>
          </w:p>
        </w:tc>
        <w:tc>
          <w:tcPr>
            <w:tcW w:type="dxa" w:w="1757"/>
            <w:shd w:val="clear" w:fill="2E75B6"/>
          </w:tcPr>
          <w:p>
            <w:pPr>
              <w:spacing w:after="40"/>
              <w:jc w:val="center"/>
            </w:pPr>
            <w:r/>
            <w:r>
              <w:rPr>
                <w:rFonts w:ascii="ＭＳ ゴシック" w:hAnsi="ＭＳ ゴシック" w:eastAsia="ＭＳ ゴシック"/>
                <w:b/>
                <w:color w:val="FFFFFF"/>
                <w:sz w:val="19"/>
              </w:rPr>
              <w:t>減少率</w:t>
            </w:r>
          </w:p>
        </w:tc>
      </w:tr>
      <w:tr>
        <w:tc>
          <w:tcPr>
            <w:tcW w:type="dxa" w:w="1474"/>
          </w:tcPr>
          <w:p>
            <w:pPr>
              <w:spacing w:after="40"/>
              <w:jc w:val="left"/>
            </w:pPr>
            <w:r/>
            <w:r>
              <w:rPr>
                <w:rFonts w:ascii="ＭＳ 明朝" w:hAnsi="ＭＳ 明朝" w:eastAsia="ＭＳ 明朝"/>
                <w:b w:val="0"/>
                <w:sz w:val="19"/>
              </w:rPr>
              <w:t>25mm</w:t>
            </w:r>
          </w:p>
        </w:tc>
        <w:tc>
          <w:tcPr>
            <w:tcW w:type="dxa" w:w="2154"/>
          </w:tcPr>
          <w:p>
            <w:pPr>
              <w:spacing w:after="40"/>
              <w:jc w:val="right"/>
            </w:pPr>
            <w:r/>
            <w:r>
              <w:rPr>
                <w:rFonts w:ascii="ＭＳ 明朝" w:hAnsi="ＭＳ 明朝" w:eastAsia="ＭＳ 明朝"/>
                <w:b w:val="0"/>
                <w:sz w:val="19"/>
              </w:rPr>
              <w:t>152,680円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▲95,180円</w:t>
            </w:r>
          </w:p>
        </w:tc>
        <w:tc>
          <w:tcPr>
            <w:tcW w:type="dxa" w:w="1757"/>
          </w:tcPr>
          <w:p>
            <w:pPr>
              <w:spacing w:after="40"/>
              <w:jc w:val="right"/>
            </w:pPr>
            <w:r/>
            <w:r>
              <w:rPr>
                <w:rFonts w:ascii="ＭＳ 明朝" w:hAnsi="ＭＳ 明朝" w:eastAsia="ＭＳ 明朝"/>
                <w:b w:val="0"/>
                <w:sz w:val="19"/>
              </w:rPr>
              <w:t>62.3%</w:t>
            </w:r>
          </w:p>
        </w:tc>
      </w:tr>
      <w:tr>
        <w:tc>
          <w:tcPr>
            <w:tcW w:type="dxa" w:w="1474"/>
          </w:tcPr>
          <w:p>
            <w:pPr>
              <w:spacing w:after="40"/>
              <w:jc w:val="left"/>
            </w:pPr>
            <w:r/>
            <w:r>
              <w:rPr>
                <w:rFonts w:ascii="ＭＳ 明朝" w:hAnsi="ＭＳ 明朝" w:eastAsia="ＭＳ 明朝"/>
                <w:b w:val="0"/>
                <w:sz w:val="19"/>
              </w:rPr>
              <w:t>50mm</w:t>
            </w:r>
          </w:p>
        </w:tc>
        <w:tc>
          <w:tcPr>
            <w:tcW w:type="dxa" w:w="2154"/>
          </w:tcPr>
          <w:p>
            <w:pPr>
              <w:spacing w:after="40"/>
              <w:jc w:val="right"/>
            </w:pPr>
            <w:r/>
            <w:r>
              <w:rPr>
                <w:rFonts w:ascii="ＭＳ 明朝" w:hAnsi="ＭＳ 明朝" w:eastAsia="ＭＳ 明朝"/>
                <w:b w:val="0"/>
                <w:sz w:val="19"/>
              </w:rPr>
              <w:t>161,163円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▲103,663円</w:t>
            </w:r>
          </w:p>
        </w:tc>
        <w:tc>
          <w:tcPr>
            <w:tcW w:type="dxa" w:w="1757"/>
          </w:tcPr>
          <w:p>
            <w:pPr>
              <w:spacing w:after="40"/>
              <w:jc w:val="right"/>
            </w:pPr>
            <w:r/>
            <w:r>
              <w:rPr>
                <w:rFonts w:ascii="ＭＳ 明朝" w:hAnsi="ＭＳ 明朝" w:eastAsia="ＭＳ 明朝"/>
                <w:b w:val="0"/>
                <w:sz w:val="19"/>
              </w:rPr>
              <w:t>64.3%</w:t>
            </w:r>
          </w:p>
        </w:tc>
      </w:tr>
    </w:tbl>
    <w:p>
      <w:pPr>
        <w:spacing w:after="200" w:line="276" w:lineRule="auto"/>
      </w:pPr>
      <w:r>
        <w:rPr>
          <w:rFonts w:ascii="ＭＳ 明朝" w:hAnsi="ＭＳ 明朝" w:eastAsia="ＭＳ 明朝"/>
          <w:b w:val="0"/>
          <w:color w:val="595959"/>
          <w:sz w:val="17"/>
        </w:rPr>
        <w:t>※ 1㎥多く使用することで支払額が約6割下がる。使用量の追加や節水の抑制、月ごとの適用の変動、認定の境界における紛争を誘発する設計である。</w:t>
      </w:r>
    </w:p>
    <w:p>
      <w:pPr>
        <w:spacing w:after="120" w:line="276" w:lineRule="auto"/>
      </w:pPr>
      <w:r>
        <w:rPr>
          <w:rFonts w:ascii="ＭＳ 明朝" w:hAnsi="ＭＳ 明朝" w:eastAsia="ＭＳ 明朝"/>
          <w:b w:val="0"/>
          <w:sz w:val="21"/>
        </w:rPr>
        <w:t>この逆転を避けるため、次の方式を比較したうえで採用方式を決定し、再試算する。</w:t>
      </w:r>
    </w:p>
    <w:p>
      <w:pPr>
        <w:pStyle w:val="ListBullet"/>
        <w:spacing w:after="60" w:line="269" w:lineRule="auto"/>
      </w:pPr>
      <w:r>
        <w:rPr>
          <w:rFonts w:ascii="ＭＳ 明朝" w:hAnsi="ＭＳ 明朝" w:eastAsia="ＭＳ 明朝"/>
          <w:sz w:val="21"/>
        </w:rPr>
        <w:t>超過部分のみに特例単価を適用する方式（基本料金と一定水量までは一般料金）</w:t>
      </w:r>
    </w:p>
    <w:p>
      <w:pPr>
        <w:pStyle w:val="ListBullet"/>
        <w:spacing w:after="60" w:line="269" w:lineRule="auto"/>
      </w:pPr>
      <w:r>
        <w:rPr>
          <w:rFonts w:ascii="ＭＳ 明朝" w:hAnsi="ＭＳ 明朝" w:eastAsia="ＭＳ 明朝"/>
          <w:sz w:val="21"/>
        </w:rPr>
        <w:t>一般料金による算定額に上限を設ける方式（料金上限方式）</w:t>
      </w:r>
    </w:p>
    <w:p>
      <w:pPr>
        <w:pStyle w:val="ListBullet"/>
        <w:spacing w:after="60" w:line="269" w:lineRule="auto"/>
      </w:pPr>
      <w:r>
        <w:rPr>
          <w:rFonts w:ascii="ＭＳ 明朝" w:hAnsi="ＭＳ 明朝" w:eastAsia="ＭＳ 明朝"/>
          <w:sz w:val="21"/>
        </w:rPr>
        <w:t>一般料金に対する減免率を定める方式（減免率方式）</w:t>
      </w:r>
    </w:p>
    <w:p>
      <w:pPr>
        <w:pStyle w:val="ListBullet"/>
        <w:spacing w:after="60" w:line="269" w:lineRule="auto"/>
      </w:pPr>
      <w:r>
        <w:rPr>
          <w:rFonts w:ascii="ＭＳ 明朝" w:hAnsi="ＭＳ 明朝" w:eastAsia="ＭＳ 明朝"/>
          <w:sz w:val="21"/>
        </w:rPr>
        <w:t>月単位ではなく年間の使用実績により認定する方式（ただし年間認定のみでは境界は解消しない）</w:t>
      </w:r>
    </w:p>
    <w:p>
      <w:pPr>
        <w:spacing w:before="180" w:after="80"/>
      </w:pPr>
      <w:r>
        <w:rPr>
          <w:rFonts w:ascii="ＭＳ ゴシック" w:hAnsi="ＭＳ ゴシック" w:eastAsia="ＭＳ ゴシック"/>
          <w:b/>
          <w:color w:val="C55A11"/>
          <w:sz w:val="21"/>
        </w:rPr>
        <w:t>（2）水産加工業の事例による比較（月額・税込）</w:t>
      </w:r>
    </w:p>
    <w:p>
      <w:pPr>
        <w:spacing w:after="80" w:line="276" w:lineRule="auto"/>
      </w:pPr>
      <w:r>
        <w:rPr>
          <w:rFonts w:ascii="ＭＳ 明朝" w:hAnsi="ＭＳ 明朝" w:eastAsia="ＭＳ 明朝"/>
          <w:b w:val="0"/>
          <w:color w:val="595959"/>
          <w:sz w:val="21"/>
        </w:rPr>
        <w:t>次表は、口径と使用水量を仮定した事例による比較である。実在の事業者の実績ではなく、合計額や町全体の減収額の算定には用いていない（5-7参照）。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814"/>
            <w:shd w:val="clear" w:fill="2E75B6"/>
          </w:tcPr>
          <w:p>
            <w:pPr>
              <w:spacing w:after="40"/>
              <w:jc w:val="center"/>
            </w:pPr>
            <w:r/>
            <w:r>
              <w:rPr>
                <w:rFonts w:ascii="ＭＳ ゴシック" w:hAnsi="ＭＳ ゴシック" w:eastAsia="ＭＳ ゴシック"/>
                <w:b/>
                <w:color w:val="FFFFFF"/>
                <w:sz w:val="17"/>
              </w:rPr>
              <w:t>仮定した区分</w:t>
            </w:r>
          </w:p>
        </w:tc>
        <w:tc>
          <w:tcPr>
            <w:tcW w:type="dxa" w:w="907"/>
            <w:shd w:val="clear" w:fill="2E75B6"/>
          </w:tcPr>
          <w:p>
            <w:pPr>
              <w:spacing w:after="40"/>
              <w:jc w:val="center"/>
            </w:pPr>
            <w:r/>
            <w:r>
              <w:rPr>
                <w:rFonts w:ascii="ＭＳ ゴシック" w:hAnsi="ＭＳ ゴシック" w:eastAsia="ＭＳ ゴシック"/>
                <w:b/>
                <w:color w:val="FFFFFF"/>
                <w:sz w:val="17"/>
              </w:rPr>
              <w:t>口径</w:t>
            </w:r>
          </w:p>
        </w:tc>
        <w:tc>
          <w:tcPr>
            <w:tcW w:type="dxa" w:w="1134"/>
            <w:shd w:val="clear" w:fill="2E75B6"/>
          </w:tcPr>
          <w:p>
            <w:pPr>
              <w:spacing w:after="40"/>
              <w:jc w:val="center"/>
            </w:pPr>
            <w:r/>
            <w:r>
              <w:rPr>
                <w:rFonts w:ascii="ＭＳ ゴシック" w:hAnsi="ＭＳ ゴシック" w:eastAsia="ＭＳ ゴシック"/>
                <w:b/>
                <w:color w:val="FFFFFF"/>
                <w:sz w:val="17"/>
              </w:rPr>
              <w:t>月使用量</w:t>
            </w:r>
          </w:p>
        </w:tc>
        <w:tc>
          <w:tcPr>
            <w:tcW w:type="dxa" w:w="1361"/>
            <w:shd w:val="clear" w:fill="2E75B6"/>
          </w:tcPr>
          <w:p>
            <w:pPr>
              <w:spacing w:after="40"/>
              <w:jc w:val="center"/>
            </w:pPr>
            <w:r/>
            <w:r>
              <w:rPr>
                <w:rFonts w:ascii="ＭＳ ゴシック" w:hAnsi="ＭＳ ゴシック" w:eastAsia="ＭＳ ゴシック"/>
                <w:b/>
                <w:color w:val="FFFFFF"/>
                <w:sz w:val="17"/>
              </w:rPr>
              <w:t>現行</w:t>
            </w:r>
          </w:p>
        </w:tc>
        <w:tc>
          <w:tcPr>
            <w:tcW w:type="dxa" w:w="1361"/>
            <w:shd w:val="clear" w:fill="2E75B6"/>
          </w:tcPr>
          <w:p>
            <w:pPr>
              <w:spacing w:after="40"/>
              <w:jc w:val="center"/>
            </w:pPr>
            <w:r/>
            <w:r>
              <w:rPr>
                <w:rFonts w:ascii="ＭＳ ゴシック" w:hAnsi="ＭＳ ゴシック" w:eastAsia="ＭＳ ゴシック"/>
                <w:b/>
                <w:color w:val="FFFFFF"/>
                <w:sz w:val="17"/>
              </w:rPr>
              <w:t>案3-A</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61"/>
            <w:shd w:val="clear" w:fill="2E75B6"/>
          </w:tcPr>
          <w:p>
            <w:pPr>
              <w:spacing w:after="40"/>
              <w:jc w:val="center"/>
            </w:pPr>
            <w:r/>
            <w:r>
              <w:rPr>
                <w:rFonts w:ascii="ＭＳ ゴシック" w:hAnsi="ＭＳ ゴシック" w:eastAsia="ＭＳ ゴシック"/>
                <w:b/>
                <w:color w:val="FFFFFF"/>
                <w:sz w:val="17"/>
              </w:rPr>
              <w:t>案3-B</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r>
      <w:tr>
        <w:tc>
          <w:tcPr>
            <w:tcW w:type="dxa" w:w="1814"/>
          </w:tcPr>
          <w:p>
            <w:pPr>
              <w:spacing w:after="40"/>
              <w:jc w:val="left"/>
            </w:pPr>
            <w:r/>
            <w:r>
              <w:rPr>
                <w:rFonts w:ascii="ＭＳ 明朝" w:hAnsi="ＭＳ 明朝" w:eastAsia="ＭＳ 明朝"/>
                <w:b w:val="0"/>
                <w:sz w:val="17"/>
              </w:rPr>
              <w:t>小規模（家族経営）</w:t>
            </w:r>
          </w:p>
        </w:tc>
        <w:tc>
          <w:tcPr>
            <w:tcW w:type="dxa" w:w="907"/>
          </w:tcPr>
          <w:p>
            <w:pPr>
              <w:spacing w:after="40"/>
              <w:jc w:val="center"/>
            </w:pPr>
            <w:r/>
            <w:r>
              <w:rPr>
                <w:rFonts w:ascii="ＭＳ 明朝" w:hAnsi="ＭＳ 明朝" w:eastAsia="ＭＳ 明朝"/>
                <w:b w:val="0"/>
                <w:sz w:val="17"/>
              </w:rPr>
              <w:t>25mm</w:t>
            </w:r>
          </w:p>
        </w:tc>
        <w:tc>
          <w:tcPr>
            <w:tcW w:type="dxa" w:w="1134"/>
          </w:tcPr>
          <w:p>
            <w:pPr>
              <w:spacing w:after="40"/>
              <w:jc w:val="center"/>
            </w:pPr>
            <w:r/>
            <w:r>
              <w:rPr>
                <w:rFonts w:ascii="ＭＳ 明朝" w:hAnsi="ＭＳ 明朝" w:eastAsia="ＭＳ 明朝"/>
                <w:b w:val="0"/>
                <w:sz w:val="17"/>
              </w:rPr>
              <w:t>200㎥</w:t>
            </w:r>
          </w:p>
        </w:tc>
        <w:tc>
          <w:tcPr>
            <w:tcW w:type="dxa" w:w="1361"/>
          </w:tcPr>
          <w:p>
            <w:pPr>
              <w:spacing w:after="40"/>
              <w:jc w:val="right"/>
            </w:pPr>
            <w:r/>
            <w:r>
              <w:rPr>
                <w:rFonts w:ascii="ＭＳ 明朝" w:hAnsi="ＭＳ 明朝" w:eastAsia="ＭＳ 明朝"/>
                <w:b w:val="0"/>
                <w:sz w:val="17"/>
              </w:rPr>
              <w:t>23,210</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r>
      <w:tr>
        <w:tc>
          <w:tcPr>
            <w:tcW w:type="dxa" w:w="1814"/>
          </w:tcPr>
          <w:p>
            <w:pPr>
              <w:spacing w:after="40"/>
              <w:jc w:val="left"/>
            </w:pPr>
            <w:r/>
            <w:r>
              <w:rPr>
                <w:rFonts w:ascii="ＭＳ 明朝" w:hAnsi="ＭＳ 明朝" w:eastAsia="ＭＳ 明朝"/>
                <w:b w:val="0"/>
                <w:sz w:val="17"/>
              </w:rPr>
              <w:t>中規模（一般加工）</w:t>
            </w:r>
          </w:p>
        </w:tc>
        <w:tc>
          <w:tcPr>
            <w:tcW w:type="dxa" w:w="907"/>
          </w:tcPr>
          <w:p>
            <w:pPr>
              <w:spacing w:after="40"/>
              <w:jc w:val="center"/>
            </w:pPr>
            <w:r/>
            <w:r>
              <w:rPr>
                <w:rFonts w:ascii="ＭＳ 明朝" w:hAnsi="ＭＳ 明朝" w:eastAsia="ＭＳ 明朝"/>
                <w:b w:val="0"/>
                <w:sz w:val="17"/>
              </w:rPr>
              <w:t>50mm</w:t>
            </w:r>
          </w:p>
        </w:tc>
        <w:tc>
          <w:tcPr>
            <w:tcW w:type="dxa" w:w="1134"/>
          </w:tcPr>
          <w:p>
            <w:pPr>
              <w:spacing w:after="40"/>
              <w:jc w:val="center"/>
            </w:pPr>
            <w:r/>
            <w:r>
              <w:rPr>
                <w:rFonts w:ascii="ＭＳ 明朝" w:hAnsi="ＭＳ 明朝" w:eastAsia="ＭＳ 明朝"/>
                <w:b w:val="0"/>
                <w:sz w:val="17"/>
              </w:rPr>
              <w:t>1,000㎥</w:t>
            </w:r>
          </w:p>
        </w:tc>
        <w:tc>
          <w:tcPr>
            <w:tcW w:type="dxa" w:w="1361"/>
          </w:tcPr>
          <w:p>
            <w:pPr>
              <w:spacing w:after="40"/>
              <w:jc w:val="right"/>
            </w:pPr>
            <w:r/>
            <w:r>
              <w:rPr>
                <w:rFonts w:ascii="ＭＳ 明朝" w:hAnsi="ＭＳ 明朝" w:eastAsia="ＭＳ 明朝"/>
                <w:b w:val="0"/>
                <w:sz w:val="17"/>
              </w:rPr>
              <w:t>111,980</w:t>
            </w:r>
          </w:p>
        </w:tc>
        <w:tc>
          <w:tcPr>
            <w:tcW w:type="dxa" w:w="1361"/>
          </w:tcPr>
          <w:p>
            <w:pPr>
              <w:spacing w:after="40"/>
              <w:jc w:val="right"/>
            </w:pPr>
            <w:r/>
            <w:r>
              <w:rPr>
                <w:rFonts w:ascii="ＭＳ 明朝" w:hAnsi="ＭＳ 明朝" w:eastAsia="ＭＳ 明朝"/>
                <w:b w:val="0"/>
                <w:sz w:val="17"/>
              </w:rPr>
              <w:t>319,867</w:t>
            </w:r>
          </w:p>
        </w:tc>
        <w:tc>
          <w:tcPr>
            <w:tcW w:type="dxa" w:w="907"/>
          </w:tcPr>
          <w:p>
            <w:pPr>
              <w:spacing w:after="40"/>
              <w:jc w:val="center"/>
            </w:pPr>
            <w:r/>
            <w:r>
              <w:rPr>
                <w:rFonts w:ascii="ＭＳ 明朝" w:hAnsi="ＭＳ 明朝" w:eastAsia="ＭＳ 明朝"/>
                <w:b w:val="0"/>
                <w:sz w:val="17"/>
              </w:rPr>
              <w:t>2.86倍</w:t>
            </w:r>
          </w:p>
        </w:tc>
        <w:tc>
          <w:tcPr>
            <w:tcW w:type="dxa" w:w="1361"/>
          </w:tcPr>
          <w:p>
            <w:pPr>
              <w:spacing w:after="40"/>
              <w:jc w:val="right"/>
            </w:pPr>
            <w:r/>
            <w:r>
              <w:rPr>
                <w:rFonts w:ascii="ＭＳ 明朝" w:hAnsi="ＭＳ 明朝" w:eastAsia="ＭＳ 明朝"/>
                <w:b w:val="0"/>
                <w:sz w:val="17"/>
              </w:rPr>
              <w:t>115,000</w:t>
            </w:r>
          </w:p>
        </w:tc>
        <w:tc>
          <w:tcPr>
            <w:tcW w:type="dxa" w:w="907"/>
          </w:tcPr>
          <w:p>
            <w:pPr>
              <w:spacing w:after="40"/>
              <w:jc w:val="center"/>
            </w:pPr>
            <w:r/>
            <w:r>
              <w:rPr>
                <w:rFonts w:ascii="ＭＳ 明朝" w:hAnsi="ＭＳ 明朝" w:eastAsia="ＭＳ 明朝"/>
                <w:b w:val="0"/>
                <w:sz w:val="17"/>
              </w:rPr>
              <w:t>1.03倍</w:t>
            </w:r>
          </w:p>
        </w:tc>
      </w:tr>
      <w:tr>
        <w:tc>
          <w:tcPr>
            <w:tcW w:type="dxa" w:w="1814"/>
          </w:tcPr>
          <w:p>
            <w:pPr>
              <w:spacing w:after="40"/>
              <w:jc w:val="left"/>
            </w:pPr>
            <w:r/>
            <w:r>
              <w:rPr>
                <w:rFonts w:ascii="ＭＳ 明朝" w:hAnsi="ＭＳ 明朝" w:eastAsia="ＭＳ 明朝"/>
                <w:b w:val="0"/>
                <w:sz w:val="17"/>
              </w:rPr>
              <w:t>大規模（冷凍・主要）</w:t>
            </w:r>
          </w:p>
        </w:tc>
        <w:tc>
          <w:tcPr>
            <w:tcW w:type="dxa" w:w="907"/>
          </w:tcPr>
          <w:p>
            <w:pPr>
              <w:spacing w:after="40"/>
              <w:jc w:val="center"/>
            </w:pPr>
            <w:r/>
            <w:r>
              <w:rPr>
                <w:rFonts w:ascii="ＭＳ 明朝" w:hAnsi="ＭＳ 明朝" w:eastAsia="ＭＳ 明朝"/>
                <w:b w:val="0"/>
                <w:sz w:val="17"/>
              </w:rPr>
              <w:t>75mm</w:t>
            </w:r>
          </w:p>
        </w:tc>
        <w:tc>
          <w:tcPr>
            <w:tcW w:type="dxa" w:w="1134"/>
          </w:tcPr>
          <w:p>
            <w:pPr>
              <w:spacing w:after="40"/>
              <w:jc w:val="center"/>
            </w:pPr>
            <w:r/>
            <w:r>
              <w:rPr>
                <w:rFonts w:ascii="ＭＳ 明朝" w:hAnsi="ＭＳ 明朝" w:eastAsia="ＭＳ 明朝"/>
                <w:b w:val="0"/>
                <w:sz w:val="17"/>
              </w:rPr>
              <w:t>3,000㎥</w:t>
            </w:r>
          </w:p>
        </w:tc>
        <w:tc>
          <w:tcPr>
            <w:tcW w:type="dxa" w:w="1361"/>
          </w:tcPr>
          <w:p>
            <w:pPr>
              <w:spacing w:after="40"/>
              <w:jc w:val="right"/>
            </w:pPr>
            <w:r/>
            <w:r>
              <w:rPr>
                <w:rFonts w:ascii="ＭＳ 明朝" w:hAnsi="ＭＳ 明朝" w:eastAsia="ＭＳ 明朝"/>
                <w:b w:val="0"/>
                <w:sz w:val="17"/>
              </w:rPr>
              <w:t>332,200</w:t>
            </w:r>
          </w:p>
        </w:tc>
        <w:tc>
          <w:tcPr>
            <w:tcW w:type="dxa" w:w="1361"/>
          </w:tcPr>
          <w:p>
            <w:pPr>
              <w:spacing w:after="40"/>
              <w:jc w:val="right"/>
            </w:pPr>
            <w:r/>
            <w:r>
              <w:rPr>
                <w:rFonts w:ascii="ＭＳ 明朝" w:hAnsi="ＭＳ 明朝" w:eastAsia="ＭＳ 明朝"/>
                <w:b w:val="0"/>
                <w:sz w:val="17"/>
              </w:rPr>
              <w:t>964,155</w:t>
            </w:r>
          </w:p>
        </w:tc>
        <w:tc>
          <w:tcPr>
            <w:tcW w:type="dxa" w:w="907"/>
          </w:tcPr>
          <w:p>
            <w:pPr>
              <w:spacing w:after="40"/>
              <w:jc w:val="center"/>
            </w:pPr>
            <w:r/>
            <w:r>
              <w:rPr>
                <w:rFonts w:ascii="ＭＳ 明朝" w:hAnsi="ＭＳ 明朝" w:eastAsia="ＭＳ 明朝"/>
                <w:b w:val="0"/>
                <w:sz w:val="17"/>
              </w:rPr>
              <w:t>2.90倍</w:t>
            </w:r>
          </w:p>
        </w:tc>
        <w:tc>
          <w:tcPr>
            <w:tcW w:type="dxa" w:w="1361"/>
          </w:tcPr>
          <w:p>
            <w:pPr>
              <w:spacing w:after="40"/>
              <w:jc w:val="right"/>
            </w:pPr>
            <w:r/>
            <w:r>
              <w:rPr>
                <w:rFonts w:ascii="ＭＳ 明朝" w:hAnsi="ＭＳ 明朝" w:eastAsia="ＭＳ 明朝"/>
                <w:b w:val="0"/>
                <w:sz w:val="17"/>
              </w:rPr>
              <w:t>345,000</w:t>
            </w:r>
          </w:p>
        </w:tc>
        <w:tc>
          <w:tcPr>
            <w:tcW w:type="dxa" w:w="907"/>
          </w:tcPr>
          <w:p>
            <w:pPr>
              <w:spacing w:after="40"/>
              <w:jc w:val="center"/>
            </w:pPr>
            <w:r/>
            <w:r>
              <w:rPr>
                <w:rFonts w:ascii="ＭＳ 明朝" w:hAnsi="ＭＳ 明朝" w:eastAsia="ＭＳ 明朝"/>
                <w:b w:val="0"/>
                <w:sz w:val="17"/>
              </w:rPr>
              <w:t>1.04倍</w:t>
            </w:r>
          </w:p>
        </w:tc>
      </w:tr>
      <w:tr>
        <w:tc>
          <w:tcPr>
            <w:tcW w:type="dxa" w:w="1814"/>
          </w:tcPr>
          <w:p>
            <w:pPr>
              <w:spacing w:after="40"/>
              <w:jc w:val="left"/>
            </w:pPr>
            <w:r/>
            <w:r>
              <w:rPr>
                <w:rFonts w:ascii="ＭＳ 明朝" w:hAnsi="ＭＳ 明朝" w:eastAsia="ＭＳ 明朝"/>
                <w:b w:val="0"/>
                <w:sz w:val="17"/>
              </w:rPr>
              <w:t>超大口（大手）</w:t>
            </w:r>
          </w:p>
        </w:tc>
        <w:tc>
          <w:tcPr>
            <w:tcW w:type="dxa" w:w="907"/>
          </w:tcPr>
          <w:p>
            <w:pPr>
              <w:spacing w:after="40"/>
              <w:jc w:val="center"/>
            </w:pPr>
            <w:r/>
            <w:r>
              <w:rPr>
                <w:rFonts w:ascii="ＭＳ 明朝" w:hAnsi="ＭＳ 明朝" w:eastAsia="ＭＳ 明朝"/>
                <w:b w:val="0"/>
                <w:sz w:val="17"/>
              </w:rPr>
              <w:t>100mm</w:t>
            </w:r>
          </w:p>
        </w:tc>
        <w:tc>
          <w:tcPr>
            <w:tcW w:type="dxa" w:w="1134"/>
          </w:tcPr>
          <w:p>
            <w:pPr>
              <w:spacing w:after="40"/>
              <w:jc w:val="center"/>
            </w:pPr>
            <w:r/>
            <w:r>
              <w:rPr>
                <w:rFonts w:ascii="ＭＳ 明朝" w:hAnsi="ＭＳ 明朝" w:eastAsia="ＭＳ 明朝"/>
                <w:b w:val="0"/>
                <w:sz w:val="17"/>
              </w:rPr>
              <w:t>8,000㎥</w:t>
            </w:r>
          </w:p>
        </w:tc>
        <w:tc>
          <w:tcPr>
            <w:tcW w:type="dxa" w:w="1361"/>
          </w:tcPr>
          <w:p>
            <w:pPr>
              <w:spacing w:after="40"/>
              <w:jc w:val="right"/>
            </w:pPr>
            <w:r/>
            <w:r>
              <w:rPr>
                <w:rFonts w:ascii="ＭＳ 明朝" w:hAnsi="ＭＳ 明朝" w:eastAsia="ＭＳ 明朝"/>
                <w:b w:val="0"/>
                <w:sz w:val="17"/>
              </w:rPr>
              <w:t>882,420</w:t>
            </w:r>
          </w:p>
        </w:tc>
        <w:tc>
          <w:tcPr>
            <w:tcW w:type="dxa" w:w="1361"/>
          </w:tcPr>
          <w:p>
            <w:pPr>
              <w:spacing w:after="40"/>
              <w:jc w:val="right"/>
            </w:pPr>
            <w:r/>
            <w:r>
              <w:rPr>
                <w:rFonts w:ascii="ＭＳ 明朝" w:hAnsi="ＭＳ 明朝" w:eastAsia="ＭＳ 明朝"/>
                <w:b w:val="0"/>
                <w:sz w:val="17"/>
              </w:rPr>
              <w:t>2,567,359</w:t>
            </w:r>
          </w:p>
        </w:tc>
        <w:tc>
          <w:tcPr>
            <w:tcW w:type="dxa" w:w="907"/>
          </w:tcPr>
          <w:p>
            <w:pPr>
              <w:spacing w:after="40"/>
              <w:jc w:val="center"/>
            </w:pPr>
            <w:r/>
            <w:r>
              <w:rPr>
                <w:rFonts w:ascii="ＭＳ 明朝" w:hAnsi="ＭＳ 明朝" w:eastAsia="ＭＳ 明朝"/>
                <w:b w:val="0"/>
                <w:sz w:val="17"/>
              </w:rPr>
              <w:t>2.91倍</w:t>
            </w:r>
          </w:p>
        </w:tc>
        <w:tc>
          <w:tcPr>
            <w:tcW w:type="dxa" w:w="1361"/>
          </w:tcPr>
          <w:p>
            <w:pPr>
              <w:spacing w:after="40"/>
              <w:jc w:val="right"/>
            </w:pPr>
            <w:r/>
            <w:r>
              <w:rPr>
                <w:rFonts w:ascii="ＭＳ 明朝" w:hAnsi="ＭＳ 明朝" w:eastAsia="ＭＳ 明朝"/>
                <w:b w:val="0"/>
                <w:sz w:val="17"/>
              </w:rPr>
              <w:t>920,000</w:t>
            </w:r>
          </w:p>
        </w:tc>
        <w:tc>
          <w:tcPr>
            <w:tcW w:type="dxa" w:w="907"/>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口径・使用水量はいずれも仮定値である。実績では100mmの年水量は口径全体で16,818㎥であり、本表の仮定（1事業者で年96,000㎥）とは大きく異なる。</w:t>
      </w:r>
    </w:p>
    <w:p>
      <w:pPr>
        <w:spacing w:after="160" w:line="276" w:lineRule="auto"/>
      </w:pPr>
      <w:r>
        <w:rPr>
          <w:rFonts w:ascii="ＭＳ 明朝" w:hAnsi="ＭＳ 明朝" w:eastAsia="ＭＳ 明朝"/>
          <w:b w:val="0"/>
          <w:sz w:val="21"/>
        </w:rPr>
        <w:t>3-Aでは規模の大きい事業者が2.9倍前後となるのに対し、3-Bの特例を適用すると1.03〜1.04倍にとどまる。一方、月200㎥の事業者は500㎥の要件を満たさないため特例の対象外となり、2.50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第9章　料金体系の見直しに伴う影響のとりまとめ</w:t>
      </w:r>
    </w:p>
    <w:p>
      <w:pPr>
        <w:spacing w:after="120" w:line="276" w:lineRule="auto"/>
      </w:pPr>
      <w:r>
        <w:rPr>
          <w:rFonts w:ascii="ＭＳ 明朝" w:hAnsi="ＭＳ 明朝" w:eastAsia="ＭＳ 明朝"/>
          <w:b w:val="0"/>
          <w:sz w:val="21"/>
        </w:rPr>
        <w:t>本章は、第6章から第8章の3パターンについて、影響を使用者区分ごとに横断的に整理したものである。数値はいずれも第5章の前提の下での試算値である。</w:t>
      </w:r>
    </w:p>
    <w:p>
      <w:pPr>
        <w:spacing w:before="240" w:after="100"/>
      </w:pPr>
      <w:r>
        <w:rPr>
          <w:rFonts w:ascii="ＭＳ ゴシック" w:hAnsi="ＭＳ ゴシック" w:eastAsia="ＭＳ ゴシック"/>
          <w:b/>
          <w:color w:val="2E75B6"/>
          <w:sz w:val="23"/>
        </w:rPr>
        <w:t>9-1　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1.125倍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1.99倍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①②は体系を変えないため全ゾーンが同率。③は口径と使用水量の組合せにより倍率が変わる。③の倍率は各ゾーンに割り当てた代表口径によるものであり、同じ水量帯でも口径が異なれば倍率は変わる（8-2（3）参照）。</w:t>
      </w:r>
    </w:p>
    <w:p>
      <w:pPr>
        <w:spacing w:after="120" w:line="276" w:lineRule="auto"/>
      </w:pPr>
      <w:r>
        <w:rPr>
          <w:rFonts w:ascii="ＭＳ 明朝" w:hAnsi="ＭＳ 明朝" w:eastAsia="ＭＳ 明朝"/>
          <w:b w:val="0"/>
          <w:sz w:val="21"/>
        </w:rPr>
        <w:t>体系を維持する①②では全ての使用者が同じ倍率で上がるのに対し、③では口径と使用水量の組合せによって倍率が分かれる。どちらが公平かは価値判断を伴うため、住民・議会での議論が必要である。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9-2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②赤字半減（1.125倍）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①現行体系維持（1.99倍）</w:t>
            </w:r>
          </w:p>
        </w:tc>
        <w:tc>
          <w:tcPr>
            <w:tcW w:type="dxa" w:w="1701"/>
          </w:tcPr>
          <w:p>
            <w:pPr>
              <w:spacing w:after="40"/>
              <w:jc w:val="center"/>
            </w:pPr>
            <w:r/>
            <w:r>
              <w:rPr>
                <w:rFonts w:ascii="ＭＳ 明朝" w:hAnsi="ＭＳ 明朝" w:eastAsia="ＭＳ 明朝"/>
                <w:b w:val="0"/>
                <w:sz w:val="19"/>
              </w:rPr>
              <w:t>4,969円</w:t>
            </w:r>
          </w:p>
        </w:tc>
        <w:tc>
          <w:tcPr>
            <w:tcW w:type="dxa" w:w="1587"/>
          </w:tcPr>
          <w:p>
            <w:pPr>
              <w:spacing w:after="40"/>
              <w:jc w:val="center"/>
            </w:pPr>
            <w:r/>
            <w:r>
              <w:rPr>
                <w:rFonts w:ascii="ＭＳ 明朝" w:hAnsi="ＭＳ 明朝" w:eastAsia="ＭＳ 明朝"/>
                <w:b w:val="0"/>
                <w:sz w:val="19"/>
              </w:rPr>
              <w:t>1.99倍</w:t>
            </w:r>
          </w:p>
        </w:tc>
        <w:tc>
          <w:tcPr>
            <w:tcW w:type="dxa" w:w="1701"/>
          </w:tcPr>
          <w:p>
            <w:pPr>
              <w:spacing w:after="40"/>
              <w:jc w:val="center"/>
            </w:pPr>
            <w:r/>
            <w:r>
              <w:rPr>
                <w:rFonts w:ascii="ＭＳ 明朝" w:hAnsi="ＭＳ 明朝" w:eastAsia="ＭＳ 明朝"/>
                <w:b w:val="0"/>
                <w:sz w:val="19"/>
              </w:rPr>
              <w:t>+2,472円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4,166円</w:t>
            </w:r>
          </w:p>
        </w:tc>
        <w:tc>
          <w:tcPr>
            <w:tcW w:type="dxa" w:w="1587"/>
          </w:tcPr>
          <w:p>
            <w:pPr>
              <w:spacing w:after="40"/>
              <w:jc w:val="center"/>
            </w:pPr>
            <w:r/>
            <w:r>
              <w:rPr>
                <w:rFonts w:ascii="ＭＳ 明朝" w:hAnsi="ＭＳ 明朝" w:eastAsia="ＭＳ 明朝"/>
                <w:b w:val="0"/>
                <w:sz w:val="19"/>
              </w:rPr>
              <w:t>1.67倍</w:t>
            </w:r>
          </w:p>
        </w:tc>
        <w:tc>
          <w:tcPr>
            <w:tcW w:type="dxa" w:w="1701"/>
          </w:tcPr>
          <w:p>
            <w:pPr>
              <w:spacing w:after="40"/>
              <w:jc w:val="center"/>
            </w:pPr>
            <w:r/>
            <w:r>
              <w:rPr>
                <w:rFonts w:ascii="ＭＳ 明朝" w:hAnsi="ＭＳ 明朝" w:eastAsia="ＭＳ 明朝"/>
                <w:b w:val="0"/>
                <w:sz w:val="19"/>
              </w:rPr>
              <w:t>+1,669円</w:t>
            </w:r>
          </w:p>
        </w:tc>
      </w:tr>
    </w:tbl>
    <w:p>
      <w:pPr>
        <w:spacing w:after="200" w:line="276" w:lineRule="auto"/>
      </w:pPr>
      <w:r>
        <w:rPr>
          <w:rFonts w:ascii="ＭＳ 明朝" w:hAnsi="ＭＳ 明朝" w:eastAsia="ＭＳ 明朝"/>
          <w:b w:val="0"/>
          <w:color w:val="595959"/>
          <w:sz w:val="17"/>
        </w:rPr>
        <w:t>※ 口径20mm・月20㎥使用の場合（税込）。</w:t>
      </w:r>
    </w:p>
    <w:p>
      <w:pPr>
        <w:spacing w:before="240" w:after="100"/>
      </w:pPr>
      <w:r>
        <w:rPr>
          <w:rFonts w:ascii="ＭＳ ゴシック" w:hAnsi="ＭＳ ゴシック" w:eastAsia="ＭＳ ゴシック"/>
          <w:b/>
          <w:color w:val="2E75B6"/>
          <w:sz w:val="23"/>
        </w:rPr>
        <w:t>9-3　水産加工業への影響（仮定した事例）</w:t>
      </w:r>
    </w:p>
    <w:p>
      <w:pPr>
        <w:spacing w:after="80" w:line="276" w:lineRule="auto"/>
      </w:pPr>
      <w:r>
        <w:rPr>
          <w:rFonts w:ascii="ＭＳ 明朝" w:hAnsi="ＭＳ 明朝" w:eastAsia="ＭＳ 明朝"/>
          <w:b w:val="0"/>
          <w:color w:val="595959"/>
          <w:sz w:val="21"/>
        </w:rPr>
        <w:t>本節の数値は、口径と使用水量を仮定した事例であり、実在の事業者の実績ではない。合計額および町全体の財政効果は算定していない（5-7参照）。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仮定した区分</w:t>
            </w:r>
          </w:p>
        </w:tc>
        <w:tc>
          <w:tcPr>
            <w:tcW w:type="dxa" w:w="850"/>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247"/>
            <w:shd w:val="clear" w:fill="2E75B6"/>
          </w:tcPr>
          <w:p>
            <w:pPr>
              <w:spacing w:after="40"/>
              <w:jc w:val="center"/>
            </w:pPr>
            <w:r/>
            <w:r>
              <w:rPr>
                <w:rFonts w:ascii="ＭＳ ゴシック" w:hAnsi="ＭＳ ゴシック" w:eastAsia="ＭＳ ゴシック"/>
                <w:b/>
                <w:color w:val="FFFFFF"/>
                <w:sz w:val="17"/>
              </w:rPr>
              <w:t>②赤字半減</w:t>
            </w:r>
          </w:p>
        </w:tc>
        <w:tc>
          <w:tcPr>
            <w:tcW w:type="dxa" w:w="1247"/>
            <w:shd w:val="clear" w:fill="2E75B6"/>
          </w:tcPr>
          <w:p>
            <w:pPr>
              <w:spacing w:after="40"/>
              <w:jc w:val="center"/>
            </w:pPr>
            <w:r/>
            <w:r>
              <w:rPr>
                <w:rFonts w:ascii="ＭＳ ゴシック" w:hAnsi="ＭＳ ゴシック" w:eastAsia="ＭＳ ゴシック"/>
                <w:b/>
                <w:color w:val="FFFFFF"/>
                <w:sz w:val="17"/>
              </w:rPr>
              <w:t>①現行体系</w:t>
            </w:r>
          </w:p>
        </w:tc>
        <w:tc>
          <w:tcPr>
            <w:tcW w:type="dxa" w:w="1020"/>
            <w:shd w:val="clear" w:fill="2E75B6"/>
          </w:tcPr>
          <w:p>
            <w:pPr>
              <w:spacing w:after="40"/>
              <w:jc w:val="center"/>
            </w:pPr>
            <w:r/>
            <w:r>
              <w:rPr>
                <w:rFonts w:ascii="ＭＳ ゴシック" w:hAnsi="ＭＳ ゴシック" w:eastAsia="ＭＳ ゴシック"/>
                <w:b/>
                <w:color w:val="FFFFFF"/>
                <w:sz w:val="17"/>
              </w:rPr>
              <w:t>③3-A</w:t>
            </w:r>
          </w:p>
        </w:tc>
        <w:tc>
          <w:tcPr>
            <w:tcW w:type="dxa" w:w="1020"/>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850"/>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1304"/>
          </w:tcPr>
          <w:p>
            <w:pPr>
              <w:spacing w:after="40"/>
              <w:jc w:val="right"/>
            </w:pPr>
            <w:r/>
            <w:r>
              <w:rPr>
                <w:rFonts w:ascii="ＭＳ 明朝" w:hAnsi="ＭＳ 明朝" w:eastAsia="ＭＳ 明朝"/>
                <w:b w:val="0"/>
                <w:sz w:val="17"/>
              </w:rPr>
              <w:t>23,210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2.50倍</w:t>
            </w:r>
          </w:p>
        </w:tc>
        <w:tc>
          <w:tcPr>
            <w:tcW w:type="dxa" w:w="1020"/>
          </w:tcPr>
          <w:p>
            <w:pPr>
              <w:spacing w:after="40"/>
              <w:jc w:val="center"/>
            </w:pPr>
            <w:r/>
            <w:r>
              <w:rPr>
                <w:rFonts w:ascii="ＭＳ 明朝" w:hAnsi="ＭＳ 明朝" w:eastAsia="ＭＳ 明朝"/>
                <w:b w:val="0"/>
                <w:sz w:val="17"/>
              </w:rPr>
              <w:t>2.50倍</w:t>
            </w:r>
          </w:p>
        </w:tc>
      </w:tr>
      <w:tr>
        <w:tc>
          <w:tcPr>
            <w:tcW w:type="dxa" w:w="1701"/>
          </w:tcPr>
          <w:p>
            <w:pPr>
              <w:spacing w:after="40"/>
              <w:jc w:val="left"/>
            </w:pPr>
            <w:r/>
            <w:r>
              <w:rPr>
                <w:rFonts w:ascii="ＭＳ 明朝" w:hAnsi="ＭＳ 明朝" w:eastAsia="ＭＳ 明朝"/>
                <w:b w:val="0"/>
                <w:sz w:val="17"/>
              </w:rPr>
              <w:t>中規模（一般加工）</w:t>
            </w:r>
          </w:p>
        </w:tc>
        <w:tc>
          <w:tcPr>
            <w:tcW w:type="dxa" w:w="850"/>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1304"/>
          </w:tcPr>
          <w:p>
            <w:pPr>
              <w:spacing w:after="40"/>
              <w:jc w:val="right"/>
            </w:pPr>
            <w:r/>
            <w:r>
              <w:rPr>
                <w:rFonts w:ascii="ＭＳ 明朝" w:hAnsi="ＭＳ 明朝" w:eastAsia="ＭＳ 明朝"/>
                <w:b w:val="0"/>
                <w:sz w:val="17"/>
              </w:rPr>
              <w:t>111,980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2.86倍</w:t>
            </w:r>
          </w:p>
        </w:tc>
        <w:tc>
          <w:tcPr>
            <w:tcW w:type="dxa" w:w="102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850"/>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1304"/>
          </w:tcPr>
          <w:p>
            <w:pPr>
              <w:spacing w:after="40"/>
              <w:jc w:val="right"/>
            </w:pPr>
            <w:r/>
            <w:r>
              <w:rPr>
                <w:rFonts w:ascii="ＭＳ 明朝" w:hAnsi="ＭＳ 明朝" w:eastAsia="ＭＳ 明朝"/>
                <w:b w:val="0"/>
                <w:sz w:val="17"/>
              </w:rPr>
              <w:t>332,200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2.90倍</w:t>
            </w:r>
          </w:p>
        </w:tc>
        <w:tc>
          <w:tcPr>
            <w:tcW w:type="dxa" w:w="102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850"/>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1304"/>
          </w:tcPr>
          <w:p>
            <w:pPr>
              <w:spacing w:after="40"/>
              <w:jc w:val="right"/>
            </w:pPr>
            <w:r/>
            <w:r>
              <w:rPr>
                <w:rFonts w:ascii="ＭＳ 明朝" w:hAnsi="ＭＳ 明朝" w:eastAsia="ＭＳ 明朝"/>
                <w:b w:val="0"/>
                <w:sz w:val="17"/>
              </w:rPr>
              <w:t>882,420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2.91倍</w:t>
            </w:r>
          </w:p>
        </w:tc>
        <w:tc>
          <w:tcPr>
            <w:tcW w:type="dxa" w:w="102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の設定の廃止により2.5〜2.9倍となり、影響が集中する。③3-Bの特例を併設すれば現行水準を概ね維持できるが、特例による減収の規模は実使用水量の明細を得たうえで算定する。</w:t>
      </w:r>
    </w:p>
    <w:p>
      <w:pPr>
        <w:spacing w:before="240" w:after="100"/>
      </w:pPr>
      <w:r>
        <w:rPr>
          <w:rFonts w:ascii="ＭＳ ゴシック" w:hAnsi="ＭＳ ゴシック" w:eastAsia="ＭＳ ゴシック"/>
          <w:b/>
          <w:color w:val="2E75B6"/>
          <w:sz w:val="23"/>
        </w:rPr>
        <w:t>9-4　特殊用途区分への影響（月額・税込）</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口径別体系へ移行する場合、湯屋用・船舶用の区分をどう扱うかが論点となる。下表は、これらの区分を廃止して一般の口径別料金を適用した場合の試算である。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87"/>
            <w:shd w:val="clear" w:fill="2E75B6"/>
          </w:tcPr>
          <w:p>
            <w:pPr>
              <w:spacing w:after="40"/>
              <w:jc w:val="center"/>
            </w:pPr>
            <w:r/>
            <w:r>
              <w:rPr>
                <w:rFonts w:ascii="ＭＳ ゴシック" w:hAnsi="ＭＳ ゴシック" w:eastAsia="ＭＳ ゴシック"/>
                <w:b/>
                <w:color w:val="FFFFFF"/>
                <w:sz w:val="18"/>
              </w:rPr>
              <w:t>区分</w:t>
            </w:r>
          </w:p>
        </w:tc>
        <w:tc>
          <w:tcPr>
            <w:tcW w:type="dxa" w:w="1020"/>
            <w:shd w:val="clear" w:fill="2E75B6"/>
          </w:tcPr>
          <w:p>
            <w:pPr>
              <w:spacing w:after="40"/>
              <w:jc w:val="center"/>
            </w:pPr>
            <w:r/>
            <w:r>
              <w:rPr>
                <w:rFonts w:ascii="ＭＳ ゴシック" w:hAnsi="ＭＳ ゴシック" w:eastAsia="ＭＳ ゴシック"/>
                <w:b/>
                <w:color w:val="FFFFFF"/>
                <w:sz w:val="18"/>
              </w:rPr>
              <w:t>月使用量</w:t>
            </w:r>
          </w:p>
        </w:tc>
        <w:tc>
          <w:tcPr>
            <w:tcW w:type="dxa" w:w="1247"/>
            <w:shd w:val="clear" w:fill="2E75B6"/>
          </w:tcPr>
          <w:p>
            <w:pPr>
              <w:spacing w:after="40"/>
              <w:jc w:val="center"/>
            </w:pPr>
            <w:r/>
            <w:r>
              <w:rPr>
                <w:rFonts w:ascii="ＭＳ ゴシック" w:hAnsi="ＭＳ ゴシック" w:eastAsia="ＭＳ ゴシック"/>
                <w:b/>
                <w:color w:val="FFFFFF"/>
                <w:sz w:val="18"/>
              </w:rPr>
              <w:t>現行</w:t>
            </w:r>
          </w:p>
        </w:tc>
        <w:tc>
          <w:tcPr>
            <w:tcW w:type="dxa" w:w="1247"/>
            <w:shd w:val="clear" w:fill="2E75B6"/>
          </w:tcPr>
          <w:p>
            <w:pPr>
              <w:spacing w:after="40"/>
              <w:jc w:val="center"/>
            </w:pPr>
            <w:r/>
            <w:r>
              <w:rPr>
                <w:rFonts w:ascii="ＭＳ ゴシック" w:hAnsi="ＭＳ ゴシック" w:eastAsia="ＭＳ ゴシック"/>
                <w:b/>
                <w:color w:val="FFFFFF"/>
                <w:sz w:val="18"/>
              </w:rPr>
              <w:t>②赤字半減</w:t>
            </w:r>
          </w:p>
        </w:tc>
        <w:tc>
          <w:tcPr>
            <w:tcW w:type="dxa" w:w="1247"/>
            <w:shd w:val="clear" w:fill="2E75B6"/>
          </w:tcPr>
          <w:p>
            <w:pPr>
              <w:spacing w:after="40"/>
              <w:jc w:val="center"/>
            </w:pPr>
            <w:r/>
            <w:r>
              <w:rPr>
                <w:rFonts w:ascii="ＭＳ ゴシック" w:hAnsi="ＭＳ ゴシック" w:eastAsia="ＭＳ ゴシック"/>
                <w:b/>
                <w:color w:val="FFFFFF"/>
                <w:sz w:val="18"/>
              </w:rPr>
              <w:t>①現行体系</w:t>
            </w:r>
          </w:p>
        </w:tc>
        <w:tc>
          <w:tcPr>
            <w:tcW w:type="dxa" w:w="1701"/>
            <w:shd w:val="clear" w:fill="2E75B6"/>
          </w:tcPr>
          <w:p>
            <w:pPr>
              <w:spacing w:after="40"/>
              <w:jc w:val="center"/>
            </w:pPr>
            <w:r/>
            <w:r>
              <w:rPr>
                <w:rFonts w:ascii="ＭＳ ゴシック" w:hAnsi="ＭＳ ゴシック" w:eastAsia="ＭＳ ゴシック"/>
                <w:b/>
                <w:color w:val="FFFFFF"/>
                <w:sz w:val="18"/>
              </w:rPr>
              <w:t>③口径別（区分廃止）</w:t>
            </w:r>
          </w:p>
        </w:tc>
        <w:tc>
          <w:tcPr>
            <w:tcW w:type="dxa" w:w="1304"/>
            <w:shd w:val="clear" w:fill="2E75B6"/>
          </w:tcPr>
          <w:p>
            <w:pPr>
              <w:spacing w:after="40"/>
              <w:jc w:val="center"/>
            </w:pPr>
            <w:r/>
            <w:r>
              <w:rPr>
                <w:rFonts w:ascii="ＭＳ ゴシック" w:hAnsi="ＭＳ ゴシック" w:eastAsia="ＭＳ ゴシック"/>
                <w:b/>
                <w:color w:val="FFFFFF"/>
                <w:sz w:val="18"/>
              </w:rPr>
              <w:t>③現行比</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500㎥</w:t>
            </w:r>
          </w:p>
        </w:tc>
        <w:tc>
          <w:tcPr>
            <w:tcW w:type="dxa" w:w="1247"/>
          </w:tcPr>
          <w:p>
            <w:pPr>
              <w:spacing w:after="40"/>
              <w:jc w:val="center"/>
            </w:pPr>
            <w:r/>
            <w:r>
              <w:rPr>
                <w:rFonts w:ascii="ＭＳ 明朝" w:hAnsi="ＭＳ 明朝" w:eastAsia="ＭＳ 明朝"/>
                <w:b w:val="0"/>
                <w:sz w:val="18"/>
              </w:rPr>
              <w:t>36,300円</w:t>
            </w:r>
          </w:p>
        </w:tc>
        <w:tc>
          <w:tcPr>
            <w:tcW w:type="dxa" w:w="1247"/>
          </w:tcPr>
          <w:p>
            <w:pPr>
              <w:spacing w:after="40"/>
              <w:jc w:val="center"/>
            </w:pPr>
            <w:r/>
            <w:r>
              <w:rPr>
                <w:rFonts w:ascii="ＭＳ 明朝" w:hAnsi="ＭＳ 明朝" w:eastAsia="ＭＳ 明朝"/>
                <w:b w:val="0"/>
                <w:sz w:val="18"/>
              </w:rPr>
              <w:t>40,829円</w:t>
            </w:r>
          </w:p>
        </w:tc>
        <w:tc>
          <w:tcPr>
            <w:tcW w:type="dxa" w:w="1247"/>
          </w:tcPr>
          <w:p>
            <w:pPr>
              <w:spacing w:after="40"/>
              <w:jc w:val="center"/>
            </w:pPr>
            <w:r/>
            <w:r>
              <w:rPr>
                <w:rFonts w:ascii="ＭＳ 明朝" w:hAnsi="ＭＳ 明朝" w:eastAsia="ＭＳ 明朝"/>
                <w:b w:val="0"/>
                <w:sz w:val="18"/>
              </w:rPr>
              <w:t>72,239円</w:t>
            </w:r>
          </w:p>
        </w:tc>
        <w:tc>
          <w:tcPr>
            <w:tcW w:type="dxa" w:w="1701"/>
          </w:tcPr>
          <w:p>
            <w:pPr>
              <w:spacing w:after="40"/>
              <w:jc w:val="center"/>
            </w:pPr>
            <w:r/>
            <w:r>
              <w:rPr>
                <w:rFonts w:ascii="ＭＳ 明朝" w:hAnsi="ＭＳ 明朝" w:eastAsia="ＭＳ 明朝"/>
                <w:b/>
                <w:sz w:val="18"/>
              </w:rPr>
              <w:t>156,111円</w:t>
            </w:r>
          </w:p>
        </w:tc>
        <w:tc>
          <w:tcPr>
            <w:tcW w:type="dxa" w:w="1304"/>
          </w:tcPr>
          <w:p>
            <w:pPr>
              <w:spacing w:after="40"/>
              <w:jc w:val="center"/>
            </w:pPr>
            <w:r/>
            <w:r>
              <w:rPr>
                <w:rFonts w:ascii="ＭＳ 明朝" w:hAnsi="ＭＳ 明朝" w:eastAsia="ＭＳ 明朝"/>
                <w:b w:val="0"/>
                <w:sz w:val="18"/>
              </w:rPr>
              <w:t>4.30倍</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800㎥</w:t>
            </w:r>
          </w:p>
        </w:tc>
        <w:tc>
          <w:tcPr>
            <w:tcW w:type="dxa" w:w="1247"/>
          </w:tcPr>
          <w:p>
            <w:pPr>
              <w:spacing w:after="40"/>
              <w:jc w:val="center"/>
            </w:pPr>
            <w:r/>
            <w:r>
              <w:rPr>
                <w:rFonts w:ascii="ＭＳ 明朝" w:hAnsi="ＭＳ 明朝" w:eastAsia="ＭＳ 明朝"/>
                <w:b w:val="0"/>
                <w:sz w:val="18"/>
              </w:rPr>
              <w:t>69,300円</w:t>
            </w:r>
          </w:p>
        </w:tc>
        <w:tc>
          <w:tcPr>
            <w:tcW w:type="dxa" w:w="1247"/>
          </w:tcPr>
          <w:p>
            <w:pPr>
              <w:spacing w:after="40"/>
              <w:jc w:val="center"/>
            </w:pPr>
            <w:r/>
            <w:r>
              <w:rPr>
                <w:rFonts w:ascii="ＭＳ 明朝" w:hAnsi="ＭＳ 明朝" w:eastAsia="ＭＳ 明朝"/>
                <w:b w:val="0"/>
                <w:sz w:val="18"/>
              </w:rPr>
              <w:t>77,947円</w:t>
            </w:r>
          </w:p>
        </w:tc>
        <w:tc>
          <w:tcPr>
            <w:tcW w:type="dxa" w:w="1247"/>
          </w:tcPr>
          <w:p>
            <w:pPr>
              <w:spacing w:after="40"/>
              <w:jc w:val="center"/>
            </w:pPr>
            <w:r/>
            <w:r>
              <w:rPr>
                <w:rFonts w:ascii="ＭＳ 明朝" w:hAnsi="ＭＳ 明朝" w:eastAsia="ＭＳ 明朝"/>
                <w:b w:val="0"/>
                <w:sz w:val="18"/>
              </w:rPr>
              <w:t>137,910円</w:t>
            </w:r>
          </w:p>
        </w:tc>
        <w:tc>
          <w:tcPr>
            <w:tcW w:type="dxa" w:w="1701"/>
          </w:tcPr>
          <w:p>
            <w:pPr>
              <w:spacing w:after="40"/>
              <w:jc w:val="center"/>
            </w:pPr>
            <w:r/>
            <w:r>
              <w:rPr>
                <w:rFonts w:ascii="ＭＳ 明朝" w:hAnsi="ＭＳ 明朝" w:eastAsia="ＭＳ 明朝"/>
                <w:b/>
                <w:sz w:val="18"/>
              </w:rPr>
              <w:t>251,143円</w:t>
            </w:r>
          </w:p>
        </w:tc>
        <w:tc>
          <w:tcPr>
            <w:tcW w:type="dxa" w:w="1304"/>
          </w:tcPr>
          <w:p>
            <w:pPr>
              <w:spacing w:after="40"/>
              <w:jc w:val="center"/>
            </w:pPr>
            <w:r/>
            <w:r>
              <w:rPr>
                <w:rFonts w:ascii="ＭＳ 明朝" w:hAnsi="ＭＳ 明朝" w:eastAsia="ＭＳ 明朝"/>
                <w:b w:val="0"/>
                <w:sz w:val="18"/>
              </w:rPr>
              <w:t>3.62倍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30㎥</w:t>
            </w:r>
          </w:p>
        </w:tc>
        <w:tc>
          <w:tcPr>
            <w:tcW w:type="dxa" w:w="1247"/>
          </w:tcPr>
          <w:p>
            <w:pPr>
              <w:spacing w:after="40"/>
              <w:jc w:val="center"/>
            </w:pPr>
            <w:r/>
            <w:r>
              <w:rPr>
                <w:rFonts w:ascii="ＭＳ 明朝" w:hAnsi="ＭＳ 明朝" w:eastAsia="ＭＳ 明朝"/>
                <w:b w:val="0"/>
                <w:sz w:val="18"/>
              </w:rPr>
              <w:t>7,260円</w:t>
            </w:r>
          </w:p>
        </w:tc>
        <w:tc>
          <w:tcPr>
            <w:tcW w:type="dxa" w:w="1247"/>
          </w:tcPr>
          <w:p>
            <w:pPr>
              <w:spacing w:after="40"/>
              <w:jc w:val="center"/>
            </w:pPr>
            <w:r/>
            <w:r>
              <w:rPr>
                <w:rFonts w:ascii="ＭＳ 明朝" w:hAnsi="ＭＳ 明朝" w:eastAsia="ＭＳ 明朝"/>
                <w:b w:val="0"/>
                <w:sz w:val="18"/>
              </w:rPr>
              <w:t>8,166円</w:t>
            </w:r>
          </w:p>
        </w:tc>
        <w:tc>
          <w:tcPr>
            <w:tcW w:type="dxa" w:w="1247"/>
          </w:tcPr>
          <w:p>
            <w:pPr>
              <w:spacing w:after="40"/>
              <w:jc w:val="center"/>
            </w:pPr>
            <w:r/>
            <w:r>
              <w:rPr>
                <w:rFonts w:ascii="ＭＳ 明朝" w:hAnsi="ＭＳ 明朝" w:eastAsia="ＭＳ 明朝"/>
                <w:b w:val="0"/>
                <w:sz w:val="18"/>
              </w:rPr>
              <w:t>14,448円</w:t>
            </w:r>
          </w:p>
        </w:tc>
        <w:tc>
          <w:tcPr>
            <w:tcW w:type="dxa" w:w="1701"/>
          </w:tcPr>
          <w:p>
            <w:pPr>
              <w:spacing w:after="40"/>
              <w:jc w:val="center"/>
            </w:pPr>
            <w:r/>
            <w:r>
              <w:rPr>
                <w:rFonts w:ascii="ＭＳ 明朝" w:hAnsi="ＭＳ 明朝" w:eastAsia="ＭＳ 明朝"/>
                <w:b w:val="0"/>
                <w:sz w:val="18"/>
              </w:rPr>
              <w:t>6,690円</w:t>
            </w:r>
          </w:p>
        </w:tc>
        <w:tc>
          <w:tcPr>
            <w:tcW w:type="dxa" w:w="1304"/>
          </w:tcPr>
          <w:p>
            <w:pPr>
              <w:spacing w:after="40"/>
              <w:jc w:val="center"/>
            </w:pPr>
            <w:r/>
            <w:r>
              <w:rPr>
                <w:rFonts w:ascii="ＭＳ 明朝" w:hAnsi="ＭＳ 明朝" w:eastAsia="ＭＳ 明朝"/>
                <w:b w:val="0"/>
                <w:sz w:val="18"/>
              </w:rPr>
              <w:t>0.92倍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100㎥</w:t>
            </w:r>
          </w:p>
        </w:tc>
        <w:tc>
          <w:tcPr>
            <w:tcW w:type="dxa" w:w="1247"/>
          </w:tcPr>
          <w:p>
            <w:pPr>
              <w:spacing w:after="40"/>
              <w:jc w:val="center"/>
            </w:pPr>
            <w:r/>
            <w:r>
              <w:rPr>
                <w:rFonts w:ascii="ＭＳ 明朝" w:hAnsi="ＭＳ 明朝" w:eastAsia="ＭＳ 明朝"/>
                <w:b w:val="0"/>
                <w:sz w:val="18"/>
              </w:rPr>
              <w:t>24,200円</w:t>
            </w:r>
          </w:p>
        </w:tc>
        <w:tc>
          <w:tcPr>
            <w:tcW w:type="dxa" w:w="1247"/>
          </w:tcPr>
          <w:p>
            <w:pPr>
              <w:spacing w:after="40"/>
              <w:jc w:val="center"/>
            </w:pPr>
            <w:r/>
            <w:r>
              <w:rPr>
                <w:rFonts w:ascii="ＭＳ 明朝" w:hAnsi="ＭＳ 明朝" w:eastAsia="ＭＳ 明朝"/>
                <w:b w:val="0"/>
                <w:sz w:val="18"/>
              </w:rPr>
              <w:t>27,219円</w:t>
            </w:r>
          </w:p>
        </w:tc>
        <w:tc>
          <w:tcPr>
            <w:tcW w:type="dxa" w:w="1247"/>
          </w:tcPr>
          <w:p>
            <w:pPr>
              <w:spacing w:after="40"/>
              <w:jc w:val="center"/>
            </w:pPr>
            <w:r/>
            <w:r>
              <w:rPr>
                <w:rFonts w:ascii="ＭＳ 明朝" w:hAnsi="ＭＳ 明朝" w:eastAsia="ＭＳ 明朝"/>
                <w:b w:val="0"/>
                <w:sz w:val="18"/>
              </w:rPr>
              <w:t>48,159円</w:t>
            </w:r>
          </w:p>
        </w:tc>
        <w:tc>
          <w:tcPr>
            <w:tcW w:type="dxa" w:w="1701"/>
          </w:tcPr>
          <w:p>
            <w:pPr>
              <w:spacing w:after="40"/>
              <w:jc w:val="center"/>
            </w:pPr>
            <w:r/>
            <w:r>
              <w:rPr>
                <w:rFonts w:ascii="ＭＳ 明朝" w:hAnsi="ＭＳ 明朝" w:eastAsia="ＭＳ 明朝"/>
                <w:b w:val="0"/>
                <w:sz w:val="18"/>
              </w:rPr>
              <w:t>25,428円</w:t>
            </w:r>
          </w:p>
        </w:tc>
        <w:tc>
          <w:tcPr>
            <w:tcW w:type="dxa" w:w="1304"/>
          </w:tcPr>
          <w:p>
            <w:pPr>
              <w:spacing w:after="40"/>
              <w:jc w:val="center"/>
            </w:pPr>
            <w:r/>
            <w:r>
              <w:rPr>
                <w:rFonts w:ascii="ＭＳ 明朝" w:hAnsi="ＭＳ 明朝" w:eastAsia="ＭＳ 明朝"/>
                <w:b w:val="0"/>
                <w:sz w:val="18"/>
              </w:rPr>
              <w:t>1.05倍</w:t>
            </w:r>
          </w:p>
        </w:tc>
      </w:tr>
    </w:tbl>
    <w:p>
      <w:pPr>
        <w:spacing w:after="200" w:line="276" w:lineRule="auto"/>
      </w:pPr>
      <w:r>
        <w:rPr>
          <w:rFonts w:ascii="ＭＳ 明朝" w:hAnsi="ＭＳ 明朝" w:eastAsia="ＭＳ 明朝"/>
          <w:b w:val="0"/>
          <w:color w:val="595959"/>
          <w:sz w:val="17"/>
        </w:rPr>
        <w:t>※ 口径別の適用は湯屋用40mm・船舶用20mmと仮定。現行欄は用途別の基本料金と従量料金の合計であり、メーター使用料を含んでいない。一方③は口径別基本料金を含むため、比較にあたっては現行欄にもメーター使用料（40mm 220円・20mm 77円）を加える扱いとするか、用途固有の免除があるかを町に確認する。船舶用（委託）は請求単位が異なるため試算していない。</w:t>
      </w:r>
    </w:p>
    <w:p>
      <w:pPr>
        <w:pStyle w:val="ListBullet"/>
        <w:spacing w:after="60" w:line="269" w:lineRule="auto"/>
      </w:pPr>
      <w:r>
        <w:rPr>
          <w:rFonts w:ascii="ＭＳ 明朝" w:hAnsi="ＭＳ 明朝" w:eastAsia="ＭＳ 明朝"/>
          <w:sz w:val="21"/>
        </w:rPr>
        <w:t>湯屋用は基本水量500㎥込みの定額設計であるため、区分を廃止すると3.6〜4.3倍の負担増となる。公衆浴場の確保に関する特別措置法の趣旨を踏まえ、減免制度としての存続を検討する必要がある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船舶用（直接）は使用水量が小さいため影響は限定的だが、漁港を持つ臨海自治体特有の区分であり、県内統一化の議論では存廃の整理が必要となる</w:t>
      </w:r>
    </w:p>
    <w:p>
      <w:pPr>
        <w:pStyle w:val="ListBullet"/>
        <w:spacing w:after="60" w:line="269" w:lineRule="auto"/>
      </w:pPr>
      <w:r>
        <w:rPr>
          <w:rFonts w:ascii="ＭＳ 明朝" w:hAnsi="ＭＳ 明朝" w:eastAsia="ＭＳ 明朝"/>
          <w:sz w:val="21"/>
        </w:rPr>
        <w:t>船舶用（委託）は委託者経由の請求であり、請求単位と対象者を整理したうえで別途試算する</w:t>
      </w:r>
    </w:p>
    <w:p>
      <w:pPr>
        <w:spacing w:before="240" w:after="100"/>
      </w:pPr>
      <w:r>
        <w:rPr>
          <w:rFonts w:ascii="ＭＳ ゴシック" w:hAnsi="ＭＳ ゴシック" w:eastAsia="ＭＳ ゴシック"/>
          <w:b/>
          <w:color w:val="2E75B6"/>
          <w:sz w:val="23"/>
        </w:rPr>
        <w:t>9-5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247"/>
          </w:tcPr>
          <w:p>
            <w:pPr>
              <w:spacing w:after="40"/>
              <w:jc w:val="center"/>
            </w:pPr>
            <w:r/>
            <w:r>
              <w:rPr>
                <w:rFonts w:ascii="ＭＳ 明朝" w:hAnsi="ＭＳ 明朝" w:eastAsia="ＭＳ 明朝"/>
                <w:b w:val="0"/>
                <w:sz w:val="18"/>
              </w:rPr>
              <w:t>116,993千円</w:t>
            </w:r>
          </w:p>
        </w:tc>
      </w:tr>
      <w:tr>
        <w:tc>
          <w:tcPr>
            <w:tcW w:type="dxa" w:w="2154"/>
          </w:tcPr>
          <w:p>
            <w:pPr>
              <w:spacing w:after="40"/>
              <w:jc w:val="left"/>
            </w:pPr>
            <w:r/>
            <w:r>
              <w:rPr>
                <w:rFonts w:ascii="ＭＳ 明朝" w:hAnsi="ＭＳ 明朝" w:eastAsia="ＭＳ 明朝"/>
                <w:b w:val="0"/>
                <w:sz w:val="18"/>
              </w:rPr>
              <w:t>②赤字半減（1.125倍）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47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102,253千円</w:t>
            </w:r>
          </w:p>
        </w:tc>
      </w:tr>
      <w:tr>
        <w:tc>
          <w:tcPr>
            <w:tcW w:type="dxa" w:w="2154"/>
          </w:tcPr>
          <w:p>
            <w:pPr>
              <w:spacing w:after="40"/>
              <w:jc w:val="left"/>
            </w:pPr>
            <w:r/>
            <w:r>
              <w:rPr>
                <w:rFonts w:ascii="ＭＳ 明朝" w:hAnsi="ＭＳ 明朝" w:eastAsia="ＭＳ 明朝"/>
                <w:b w:val="0"/>
                <w:sz w:val="18"/>
              </w:rPr>
              <w:t>①現行体系維持（1.99倍）</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算定していない</w:t>
            </w:r>
          </w:p>
        </w:tc>
        <w:tc>
          <w:tcPr>
            <w:tcW w:type="dxa" w:w="1474"/>
          </w:tcPr>
          <w:p>
            <w:pPr>
              <w:spacing w:after="40"/>
              <w:jc w:val="center"/>
            </w:pPr>
            <w:r/>
            <w:r>
              <w:rPr>
                <w:rFonts w:ascii="ＭＳ 明朝" w:hAnsi="ＭＳ 明朝" w:eastAsia="ＭＳ 明朝"/>
                <w:b w:val="0"/>
                <w:sz w:val="18"/>
              </w:rPr>
              <w:t>算定していない</w:t>
            </w:r>
          </w:p>
        </w:tc>
        <w:tc>
          <w:tcPr>
            <w:tcW w:type="dxa" w:w="1417"/>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水量ゾーン別の試算で総括原価と一致するよう料金水準を逆算した結果であり、実際の調定データで検証した回収割合ではない。①と③3-Aは同じ収入水準になるよう料金表を設計しているため、両者の違いは使用者間の負担配分にある。③3-Bの財政効果は、特例対象者を実明細で特定するまで算定できない（5-7参照）。収入は水量ゾーン別の試算による推計であり（5-6参照）、供給単価・回収割合は税抜ベースである。</w:t>
      </w:r>
    </w:p>
    <w:p>
      <w:pPr>
        <w:spacing w:before="240" w:after="100"/>
      </w:pPr>
      <w:r>
        <w:rPr>
          <w:rFonts w:ascii="ＭＳ ゴシック" w:hAnsi="ＭＳ ゴシック" w:eastAsia="ＭＳ ゴシック"/>
          <w:b/>
          <w:color w:val="2E75B6"/>
          <w:sz w:val="23"/>
        </w:rPr>
        <w:t>9-6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8"/>
              </w:rPr>
              <w:t>観点</w:t>
            </w:r>
          </w:p>
        </w:tc>
        <w:tc>
          <w:tcPr>
            <w:tcW w:type="dxa" w:w="1814"/>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14"/>
            <w:shd w:val="clear" w:fill="2E75B6"/>
          </w:tcPr>
          <w:p>
            <w:pPr>
              <w:spacing w:after="40"/>
              <w:jc w:val="center"/>
            </w:pPr>
            <w:r/>
            <w:r>
              <w:rPr>
                <w:rFonts w:ascii="ＭＳ ゴシック" w:hAnsi="ＭＳ ゴシック" w:eastAsia="ＭＳ ゴシック"/>
                <w:b/>
                <w:color w:val="FFFFFF"/>
                <w:sz w:val="18"/>
              </w:rPr>
              <w:t>②赤字半減</w:t>
            </w:r>
          </w:p>
        </w:tc>
        <w:tc>
          <w:tcPr>
            <w:tcW w:type="dxa" w:w="1814"/>
            <w:shd w:val="clear" w:fill="2E75B6"/>
          </w:tcPr>
          <w:p>
            <w:pPr>
              <w:spacing w:after="40"/>
              <w:jc w:val="center"/>
            </w:pPr>
            <w:r/>
            <w:r>
              <w:rPr>
                <w:rFonts w:ascii="ＭＳ ゴシック" w:hAnsi="ＭＳ ゴシック" w:eastAsia="ＭＳ ゴシック"/>
                <w:b/>
                <w:color w:val="FFFFFF"/>
                <w:sz w:val="18"/>
              </w:rPr>
              <w:t>③口径別3-A</w:t>
            </w:r>
          </w:p>
        </w:tc>
        <w:tc>
          <w:tcPr>
            <w:tcW w:type="dxa" w:w="1928"/>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2041"/>
          </w:tcPr>
          <w:p>
            <w:pPr>
              <w:spacing w:after="40"/>
              <w:jc w:val="left"/>
            </w:pPr>
            <w:r/>
            <w:r>
              <w:rPr>
                <w:rFonts w:ascii="ＭＳ 明朝" w:hAnsi="ＭＳ 明朝" w:eastAsia="ＭＳ 明朝"/>
                <w:b w:val="0"/>
                <w:sz w:val="18"/>
              </w:rPr>
              <w:t>標準家庭（20mm・20㎥）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1.67倍</w:t>
            </w:r>
          </w:p>
        </w:tc>
        <w:tc>
          <w:tcPr>
            <w:tcW w:type="dxa" w:w="1928"/>
          </w:tcPr>
          <w:p>
            <w:pPr>
              <w:spacing w:after="40"/>
              <w:jc w:val="center"/>
            </w:pPr>
            <w:r/>
            <w:r>
              <w:rPr>
                <w:rFonts w:ascii="ＭＳ 明朝" w:hAnsi="ＭＳ 明朝" w:eastAsia="ＭＳ 明朝"/>
                <w:b w:val="0"/>
                <w:sz w:val="18"/>
              </w:rPr>
              <w:t>1.67倍</w:t>
            </w:r>
          </w:p>
        </w:tc>
      </w:tr>
      <w:tr>
        <w:tc>
          <w:tcPr>
            <w:tcW w:type="dxa" w:w="2041"/>
          </w:tcPr>
          <w:p>
            <w:pPr>
              <w:spacing w:after="40"/>
              <w:jc w:val="left"/>
            </w:pPr>
            <w:r/>
            <w:r>
              <w:rPr>
                <w:rFonts w:ascii="ＭＳ 明朝" w:hAnsi="ＭＳ 明朝" w:eastAsia="ＭＳ 明朝"/>
                <w:b w:val="0"/>
                <w:sz w:val="18"/>
              </w:rPr>
              <w:t>仮定事例：25mm・200㎥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2.50倍</w:t>
            </w:r>
          </w:p>
        </w:tc>
        <w:tc>
          <w:tcPr>
            <w:tcW w:type="dxa" w:w="1928"/>
          </w:tcPr>
          <w:p>
            <w:pPr>
              <w:spacing w:after="40"/>
              <w:jc w:val="center"/>
            </w:pPr>
            <w:r/>
            <w:r>
              <w:rPr>
                <w:rFonts w:ascii="ＭＳ 明朝" w:hAnsi="ＭＳ 明朝" w:eastAsia="ＭＳ 明朝"/>
                <w:b w:val="0"/>
                <w:sz w:val="18"/>
              </w:rPr>
              <w:t>2.50倍</w:t>
            </w:r>
          </w:p>
        </w:tc>
      </w:tr>
      <w:tr>
        <w:tc>
          <w:tcPr>
            <w:tcW w:type="dxa" w:w="2041"/>
          </w:tcPr>
          <w:p>
            <w:pPr>
              <w:spacing w:after="40"/>
              <w:jc w:val="left"/>
            </w:pPr>
            <w:r/>
            <w:r>
              <w:rPr>
                <w:rFonts w:ascii="ＭＳ 明朝" w:hAnsi="ＭＳ 明朝" w:eastAsia="ＭＳ 明朝"/>
                <w:b w:val="0"/>
                <w:sz w:val="18"/>
              </w:rPr>
              <w:t>仮定事例：50mm・1,000㎥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2.86倍</w:t>
            </w:r>
          </w:p>
        </w:tc>
        <w:tc>
          <w:tcPr>
            <w:tcW w:type="dxa" w:w="1928"/>
          </w:tcPr>
          <w:p>
            <w:pPr>
              <w:spacing w:after="40"/>
              <w:jc w:val="center"/>
            </w:pPr>
            <w:r/>
            <w:r>
              <w:rPr>
                <w:rFonts w:ascii="ＭＳ 明朝" w:hAnsi="ＭＳ 明朝" w:eastAsia="ＭＳ 明朝"/>
                <w:b w:val="0"/>
                <w:sz w:val="18"/>
              </w:rPr>
              <w:t>1.03倍</w:t>
            </w:r>
          </w:p>
        </w:tc>
      </w:tr>
      <w:tr>
        <w:tc>
          <w:tcPr>
            <w:tcW w:type="dxa" w:w="2041"/>
          </w:tcPr>
          <w:p>
            <w:pPr>
              <w:spacing w:after="40"/>
              <w:jc w:val="left"/>
            </w:pPr>
            <w:r/>
            <w:r>
              <w:rPr>
                <w:rFonts w:ascii="ＭＳ 明朝" w:hAnsi="ＭＳ 明朝" w:eastAsia="ＭＳ 明朝"/>
                <w:b w:val="0"/>
                <w:sz w:val="18"/>
              </w:rPr>
              <w:t>湯屋用（500㎥）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4.30倍</w:t>
            </w:r>
          </w:p>
        </w:tc>
        <w:tc>
          <w:tcPr>
            <w:tcW w:type="dxa" w:w="1928"/>
          </w:tcPr>
          <w:p>
            <w:pPr>
              <w:spacing w:after="40"/>
              <w:jc w:val="center"/>
            </w:pPr>
            <w:r/>
            <w:r>
              <w:rPr>
                <w:rFonts w:ascii="ＭＳ 明朝" w:hAnsi="ＭＳ 明朝" w:eastAsia="ＭＳ 明朝"/>
                <w:b w:val="0"/>
                <w:sz w:val="18"/>
              </w:rPr>
              <w:t>4.30倍</w:t>
            </w:r>
          </w:p>
        </w:tc>
      </w:tr>
      <w:tr>
        <w:tc>
          <w:tcPr>
            <w:tcW w:type="dxa" w:w="2041"/>
          </w:tcPr>
          <w:p>
            <w:pPr>
              <w:spacing w:after="40"/>
              <w:jc w:val="left"/>
            </w:pPr>
            <w:r/>
            <w:r>
              <w:rPr>
                <w:rFonts w:ascii="ＭＳ 明朝" w:hAnsi="ＭＳ 明朝" w:eastAsia="ＭＳ 明朝"/>
                <w:b w:val="0"/>
                <w:sz w:val="18"/>
              </w:rPr>
              <w:t>総括原価回収割合</w:t>
            </w:r>
          </w:p>
        </w:tc>
        <w:tc>
          <w:tcPr>
            <w:tcW w:type="dxa" w:w="1814"/>
          </w:tcPr>
          <w:p>
            <w:pPr>
              <w:spacing w:after="40"/>
              <w:jc w:val="center"/>
            </w:pPr>
            <w:r/>
            <w:r>
              <w:rPr>
                <w:rFonts w:ascii="ＭＳ 明朝" w:hAnsi="ＭＳ 明朝" w:eastAsia="ＭＳ 明朝"/>
                <w:b w:val="0"/>
                <w:sz w:val="18"/>
              </w:rPr>
              <w:t>100.0%※</w:t>
            </w:r>
          </w:p>
        </w:tc>
        <w:tc>
          <w:tcPr>
            <w:tcW w:type="dxa" w:w="1814"/>
          </w:tcPr>
          <w:p>
            <w:pPr>
              <w:spacing w:after="40"/>
              <w:jc w:val="center"/>
            </w:pPr>
            <w:r/>
            <w:r>
              <w:rPr>
                <w:rFonts w:ascii="ＭＳ 明朝" w:hAnsi="ＭＳ 明朝" w:eastAsia="ＭＳ 明朝"/>
                <w:b w:val="0"/>
                <w:sz w:val="18"/>
              </w:rPr>
              <w:t>56.5%</w:t>
            </w:r>
          </w:p>
        </w:tc>
        <w:tc>
          <w:tcPr>
            <w:tcW w:type="dxa" w:w="1814"/>
          </w:tcPr>
          <w:p>
            <w:pPr>
              <w:spacing w:after="40"/>
              <w:jc w:val="center"/>
            </w:pPr>
            <w:r/>
            <w:r>
              <w:rPr>
                <w:rFonts w:ascii="ＭＳ 明朝" w:hAnsi="ＭＳ 明朝" w:eastAsia="ＭＳ 明朝"/>
                <w:b w:val="0"/>
                <w:sz w:val="18"/>
              </w:rPr>
              <w:t>100.0%※</w:t>
            </w:r>
          </w:p>
        </w:tc>
        <w:tc>
          <w:tcPr>
            <w:tcW w:type="dxa" w:w="1928"/>
          </w:tcPr>
          <w:p>
            <w:pPr>
              <w:spacing w:after="40"/>
              <w:jc w:val="center"/>
            </w:pPr>
            <w:r/>
            <w:r>
              <w:rPr>
                <w:rFonts w:ascii="ＭＳ 明朝" w:hAnsi="ＭＳ 明朝" w:eastAsia="ＭＳ 明朝"/>
                <w:b w:val="0"/>
                <w:sz w:val="18"/>
              </w:rPr>
              <w:t>算定していない</w:t>
            </w:r>
          </w:p>
        </w:tc>
      </w:tr>
      <w:tr>
        <w:tc>
          <w:tcPr>
            <w:tcW w:type="dxa" w:w="2041"/>
          </w:tcPr>
          <w:p>
            <w:pPr>
              <w:spacing w:after="40"/>
              <w:jc w:val="left"/>
            </w:pPr>
            <w:r/>
            <w:r>
              <w:rPr>
                <w:rFonts w:ascii="ＭＳ 明朝" w:hAnsi="ＭＳ 明朝" w:eastAsia="ＭＳ 明朝"/>
                <w:b w:val="0"/>
                <w:sz w:val="18"/>
              </w:rPr>
              <w:t>料金表上の逓減の解消</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解消</w:t>
            </w:r>
          </w:p>
        </w:tc>
        <w:tc>
          <w:tcPr>
            <w:tcW w:type="dxa" w:w="1928"/>
          </w:tcPr>
          <w:p>
            <w:pPr>
              <w:spacing w:after="40"/>
              <w:jc w:val="center"/>
            </w:pPr>
            <w:r/>
            <w:r>
              <w:rPr>
                <w:rFonts w:ascii="ＭＳ 明朝" w:hAnsi="ＭＳ 明朝" w:eastAsia="ＭＳ 明朝"/>
                <w:b w:val="0"/>
                <w:sz w:val="18"/>
              </w:rPr>
              <w:t>△　標準料金表では解消するが</w:t>
              <w:br/>
              <w:t>特例適用者は現行水準に近い</w:t>
            </w:r>
          </w:p>
        </w:tc>
      </w:tr>
      <w:tr>
        <w:tc>
          <w:tcPr>
            <w:tcW w:type="dxa" w:w="2041"/>
          </w:tcPr>
          <w:p>
            <w:pPr>
              <w:spacing w:after="40"/>
              <w:jc w:val="left"/>
            </w:pPr>
            <w:r/>
            <w:r>
              <w:rPr>
                <w:rFonts w:ascii="ＭＳ 明朝" w:hAnsi="ＭＳ 明朝" w:eastAsia="ＭＳ 明朝"/>
                <w:b w:val="0"/>
                <w:sz w:val="18"/>
              </w:rPr>
              <w:t>説明のしやすさ</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928"/>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試算上その水準になるよう料金を逆算した結果であり、実際の調定データで検証した回収割合ではない。③3-Bの評価は、標準料金表における逓減の解消と、特例適用後の実際の負担とを分けて示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改定案の比較と段階改定・経過措置</w:t>
      </w:r>
    </w:p>
    <w:p>
      <w:pPr>
        <w:spacing w:before="240" w:after="100"/>
      </w:pPr>
      <w:r>
        <w:rPr>
          <w:rFonts w:ascii="ＭＳ ゴシック" w:hAnsi="ＭＳ ゴシック" w:eastAsia="ＭＳ ゴシック"/>
          <w:b/>
          <w:color w:val="2E75B6"/>
          <w:sz w:val="23"/>
        </w:rPr>
        <w:t>10-1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247"/>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247"/>
            <w:shd w:val="clear" w:fill="2E75B6"/>
          </w:tcPr>
          <w:p>
            <w:pPr>
              <w:spacing w:after="40"/>
              <w:jc w:val="center"/>
            </w:pPr>
            <w:r/>
            <w:r>
              <w:rPr>
                <w:rFonts w:ascii="ＭＳ ゴシック" w:hAnsi="ＭＳ ゴシック" w:eastAsia="ＭＳ ゴシック"/>
                <w:b/>
                <w:color w:val="FFFFFF"/>
                <w:sz w:val="17"/>
              </w:rPr>
              <w:t>仮定事例</w:t>
              <w:br/>
              <w:t>50mm・1,000㎥</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用途別・逓減の体系を維持し一律改定（1.99倍）</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4,969円</w:t>
              <w:br/>
              <w:t>(1.99倍)</w:t>
            </w:r>
          </w:p>
        </w:tc>
        <w:tc>
          <w:tcPr>
            <w:tcW w:type="dxa" w:w="1247"/>
          </w:tcPr>
          <w:p>
            <w:pPr>
              <w:spacing w:after="40"/>
              <w:jc w:val="center"/>
            </w:pPr>
            <w:r/>
            <w:r>
              <w:rPr>
                <w:rFonts w:ascii="ＭＳ 明朝" w:hAnsi="ＭＳ 明朝" w:eastAsia="ＭＳ 明朝"/>
                <w:b w:val="0"/>
                <w:sz w:val="17"/>
              </w:rPr>
              <w:t>1.99倍</w:t>
            </w:r>
          </w:p>
        </w:tc>
        <w:tc>
          <w:tcPr>
            <w:tcW w:type="dxa" w:w="2211"/>
          </w:tcPr>
          <w:p>
            <w:pPr>
              <w:spacing w:after="40"/>
              <w:jc w:val="center"/>
            </w:pPr>
            <w:r/>
            <w:r>
              <w:rPr>
                <w:rFonts w:ascii="ＭＳ 明朝" w:hAnsi="ＭＳ 明朝" w:eastAsia="ＭＳ 明朝"/>
                <w:b w:val="0"/>
                <w:sz w:val="17"/>
              </w:rPr>
              <w:t>説明は容易。逓減の設定が残り大口優遇は是正されない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現行体系のまま定義③の赤字半減を目標（1.125倍）</w:t>
            </w:r>
          </w:p>
        </w:tc>
        <w:tc>
          <w:tcPr>
            <w:tcW w:type="dxa" w:w="1247"/>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247"/>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2.86倍</w:t>
            </w:r>
          </w:p>
        </w:tc>
        <w:tc>
          <w:tcPr>
            <w:tcW w:type="dxa" w:w="2211"/>
          </w:tcPr>
          <w:p>
            <w:pPr>
              <w:spacing w:after="40"/>
              <w:jc w:val="center"/>
            </w:pPr>
            <w:r/>
            <w:r>
              <w:rPr>
                <w:rFonts w:ascii="ＭＳ 明朝" w:hAnsi="ＭＳ 明朝" w:eastAsia="ＭＳ 明朝"/>
                <w:b w:val="0"/>
                <w:sz w:val="17"/>
              </w:rPr>
              <w:t>逓減の設定を解消。水産加工業への影響が大きい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　※未設計の参考仮定</w:t>
            </w:r>
          </w:p>
        </w:tc>
        <w:tc>
          <w:tcPr>
            <w:tcW w:type="dxa" w:w="1247"/>
          </w:tcPr>
          <w:p>
            <w:pPr>
              <w:spacing w:after="40"/>
              <w:jc w:val="center"/>
            </w:pPr>
            <w:r/>
            <w:r>
              <w:rPr>
                <w:rFonts w:ascii="ＭＳ 明朝" w:hAnsi="ＭＳ 明朝" w:eastAsia="ＭＳ 明朝"/>
                <w:b w:val="0"/>
                <w:sz w:val="17"/>
              </w:rPr>
              <w:t>算定していない</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sz w:val="17"/>
              </w:rPr>
              <w:t>適用方式が未決定で境界に逆転がある。減収規模も未算定のため、現時点では採択候補として比較できない</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247"/>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247"/>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激変緩和として受容されやすいと考えられる</w:t>
            </w:r>
          </w:p>
        </w:tc>
      </w:tr>
    </w:tbl>
    <w:p>
      <w:pPr>
        <w:spacing w:after="200" w:line="276" w:lineRule="auto"/>
      </w:pPr>
      <w:r>
        <w:rPr>
          <w:rFonts w:ascii="ＭＳ 明朝" w:hAnsi="ＭＳ 明朝" w:eastAsia="ＭＳ 明朝"/>
          <w:b w:val="0"/>
          <w:color w:val="595959"/>
          <w:sz w:val="17"/>
        </w:rPr>
        <w:t>※ 増収額は水量ゾーン別の試算による通年ベースの推計である。D案の増収額は、特例対象者を実明細で特定するまで算定できない。</w:t>
      </w:r>
    </w:p>
    <w:p>
      <w:pPr>
        <w:spacing w:before="240" w:after="100"/>
      </w:pPr>
      <w:r>
        <w:rPr>
          <w:rFonts w:ascii="ＭＳ ゴシック" w:hAnsi="ＭＳ ゴシック" w:eastAsia="ＭＳ ゴシック"/>
          <w:b/>
          <w:color w:val="2E75B6"/>
          <w:sz w:val="23"/>
        </w:rPr>
        <w:t>10-2　推奨する組み立て</w:t>
      </w:r>
    </w:p>
    <w:p>
      <w:pPr>
        <w:spacing w:after="120" w:line="276" w:lineRule="auto"/>
      </w:pPr>
      <w:r>
        <w:rPr>
          <w:rFonts w:ascii="ＭＳ 明朝" w:hAnsi="ＭＳ 明朝" w:eastAsia="ＭＳ 明朝"/>
          <w:b w:val="0"/>
          <w:sz w:val="21"/>
        </w:rPr>
        <w:t>単独の案では要件を満たさないため、次の組み合わせを検討の出発点とすることを提案する。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令和9年3月議会で条例改正を議決し、令和9年4月以降の適用開始で1.125倍の改定を行い、定義③の不足額を半減させる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体系を見直す場合は産業用特例を同時に設計し、水産加工業への激変を緩和する。ただし境界の逆転を生じない方式を選定する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10-3　経過措置の設計にあたっての留意点</w:t>
      </w:r>
    </w:p>
    <w:p>
      <w:pPr>
        <w:pStyle w:val="ListBullet"/>
        <w:spacing w:after="60" w:line="269" w:lineRule="auto"/>
      </w:pPr>
      <w:r>
        <w:rPr>
          <w:rFonts w:ascii="ＭＳ 明朝" w:hAnsi="ＭＳ 明朝" w:eastAsia="ＭＳ 明朝"/>
          <w:sz w:val="21"/>
        </w:rPr>
        <w:t>湯屋用は区分廃止の影響が3.6〜4.3倍と大きいため、公衆浴場向けの減免制度としての存続を検討する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産業用特例の水量要件を月500㎥とすると、月200㎥程度の事業者が対象外となる。要件の水準は実使用水量データを踏まえて設定する</w:t>
      </w:r>
    </w:p>
    <w:p>
      <w:pPr>
        <w:pStyle w:val="ListBullet"/>
        <w:spacing w:after="60" w:line="269" w:lineRule="auto"/>
      </w:pPr>
      <w:r>
        <w:rPr>
          <w:rFonts w:ascii="ＭＳ 明朝" w:hAnsi="ＭＳ 明朝" w:eastAsia="ＭＳ 明朝"/>
          <w:sz w:val="21"/>
        </w:rPr>
        <w:t>産業用特例は、境界で料金が逆転しない方式（超過部分への適用、料金上限、減免率等）を採用する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pPr>
        <w:spacing w:before="240" w:after="100"/>
      </w:pPr>
      <w:r>
        <w:rPr>
          <w:rFonts w:ascii="ＭＳ ゴシック" w:hAnsi="ＭＳ ゴシック" w:eastAsia="ＭＳ ゴシック"/>
          <w:b/>
          <w:color w:val="2E75B6"/>
          <w:sz w:val="23"/>
        </w:rPr>
        <w:t>10-4　実施時期と資金繰りの接続（最終報告での作業）</w:t>
      </w:r>
    </w:p>
    <w:p>
      <w:pPr>
        <w:spacing w:after="120" w:line="276" w:lineRule="auto"/>
      </w:pPr>
      <w:r>
        <w:rPr>
          <w:rFonts w:ascii="ＭＳ 明朝" w:hAnsi="ＭＳ 明朝" w:eastAsia="ＭＳ 明朝"/>
          <w:b w:val="0"/>
          <w:sz w:val="21"/>
        </w:rPr>
        <w:t>本報告の財政効果は、5年平均の料金収入に改定率を乗じた通年ベースの推計である。適用開始を令和9年4月以降とすると、令和8年度の収入は現行料金のままとなり、本報告に掲げる増収額は令和9年度以降に生じる。改定時期の決定にあたっては、次の作業を行ったうえで年次の資金収支により確認する必要がある。</w:t>
      </w:r>
    </w:p>
    <w:p>
      <w:pPr>
        <w:pStyle w:val="ListBullet"/>
        <w:spacing w:after="60" w:line="269" w:lineRule="auto"/>
      </w:pPr>
      <w:r>
        <w:rPr>
          <w:rFonts w:ascii="ＭＳ 明朝" w:hAnsi="ＭＳ 明朝" w:eastAsia="ＭＳ 明朝"/>
          <w:sz w:val="21"/>
        </w:rPr>
        <w:t>令和8年度は現行料金のままとなることを前提とした、令和8年度・令和9年度の実収入の算定</w:t>
      </w:r>
    </w:p>
    <w:p>
      <w:pPr>
        <w:pStyle w:val="ListBullet"/>
        <w:spacing w:after="60" w:line="269" w:lineRule="auto"/>
      </w:pPr>
      <w:r>
        <w:rPr>
          <w:rFonts w:ascii="ＭＳ 明朝" w:hAnsi="ＭＳ 明朝" w:eastAsia="ＭＳ 明朝"/>
          <w:sz w:val="21"/>
        </w:rPr>
        <w:t>改定初年度の適用月数を反映した年次収支の作成</w:t>
      </w:r>
    </w:p>
    <w:p>
      <w:pPr>
        <w:pStyle w:val="ListBullet"/>
        <w:spacing w:after="60" w:line="269" w:lineRule="auto"/>
      </w:pPr>
      <w:r>
        <w:rPr>
          <w:rFonts w:ascii="ＭＳ 明朝" w:hAnsi="ＭＳ 明朝" w:eastAsia="ＭＳ 明朝"/>
          <w:sz w:val="21"/>
        </w:rPr>
        <w:t>期首資金残高、企業債元金償還金、建設改良費を含む資金残高の推移の確認</w:t>
      </w:r>
    </w:p>
    <w:p>
      <w:pPr>
        <w:pStyle w:val="ListBullet"/>
        <w:spacing w:after="60" w:line="269" w:lineRule="auto"/>
      </w:pPr>
      <w:r>
        <w:rPr>
          <w:rFonts w:ascii="ＭＳ 明朝" w:hAnsi="ＭＳ 明朝" w:eastAsia="ＭＳ 明朝"/>
          <w:sz w:val="21"/>
        </w:rPr>
        <w:t>第1次改定から第2次改定までの累積不足額の把握</w:t>
      </w:r>
    </w:p>
    <w:p>
      <w:pPr>
        <w:pStyle w:val="ListBullet"/>
        <w:spacing w:after="60" w:line="269" w:lineRule="auto"/>
      </w:pPr>
      <w:r>
        <w:rPr>
          <w:rFonts w:ascii="ＭＳ 明朝" w:hAnsi="ＭＳ 明朝" w:eastAsia="ＭＳ 明朝"/>
          <w:sz w:val="21"/>
        </w:rPr>
        <w:t>令和13〜17年度の改定水準を、その時点の投資計画・決算値により再算定すること</w:t>
      </w:r>
    </w:p>
    <w:p>
      <w:pPr>
        <w:pStyle w:val="ListBullet"/>
        <w:spacing w:after="60" w:line="269" w:lineRule="auto"/>
      </w:pPr>
      <w:r>
        <w:rPr>
          <w:rFonts w:ascii="ＭＳ 明朝" w:hAnsi="ＭＳ 明朝" w:eastAsia="ＭＳ 明朝"/>
          <w:sz w:val="21"/>
        </w:rPr>
        <w:t>需要減、金利、工事費、補助金、特例対象者数の感応度の提示</w:t>
      </w:r>
    </w:p>
    <w:p>
      <w:pPr>
        <w:pStyle w:val="ListBullet"/>
        <w:spacing w:after="60" w:line="269" w:lineRule="auto"/>
      </w:pPr>
      <w:r>
        <w:rPr>
          <w:rFonts w:ascii="ＭＳ 明朝" w:hAnsi="ＭＳ 明朝" w:eastAsia="ＭＳ 明朝"/>
          <w:sz w:val="21"/>
        </w:rPr>
        <w:t>口径別体系への移行に伴う大口使用者の節水・自己水源への転換・操業水準の変化を感応度として織り込むこと（本報告は影響なしとは仮定していないが、定量化していない）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第11章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本章は、そのまま切り抜いて住民説明会・議会説明に使用できるよう作成している。掲載した金額は現時点の試算値であり、今後の確認作業により変わり得ることを説明の際に併せてお伝えいただきたい。</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701"/>
            <w:shd w:val="clear" w:fill="2E75B6"/>
          </w:tcPr>
          <w:p>
            <w:pPr>
              <w:spacing w:after="40"/>
              <w:jc w:val="center"/>
            </w:pPr>
            <w:r/>
            <w:r>
              <w:rPr>
                <w:rFonts w:ascii="ＭＳ ゴシック" w:hAnsi="ＭＳ ゴシック" w:eastAsia="ＭＳ ゴシック"/>
                <w:b/>
                <w:color w:val="FFFFFF"/>
                <w:sz w:val="19"/>
              </w:rPr>
              <w:t>現状</w:t>
            </w:r>
          </w:p>
        </w:tc>
        <w:tc>
          <w:tcPr>
            <w:tcW w:type="dxa" w:w="5726"/>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701"/>
          </w:tcPr>
          <w:p>
            <w:pPr>
              <w:spacing w:after="40"/>
              <w:jc w:val="center"/>
            </w:pPr>
            <w:r/>
            <w:r>
              <w:rPr>
                <w:rFonts w:ascii="ＭＳ 明朝" w:hAnsi="ＭＳ 明朝" w:eastAsia="ＭＳ 明朝"/>
                <w:b w:val="0"/>
                <w:sz w:val="19"/>
              </w:rPr>
              <w:t>令和5年度の料金回収率 約53％</w:t>
            </w:r>
          </w:p>
        </w:tc>
        <w:tc>
          <w:tcPr>
            <w:tcW w:type="dxa" w:w="5726"/>
          </w:tcPr>
          <w:p>
            <w:pPr>
              <w:spacing w:after="40"/>
              <w:jc w:val="center"/>
            </w:pPr>
            <w:r/>
            <w:r>
              <w:rPr>
                <w:rFonts w:ascii="ＭＳ 明朝" w:hAnsi="ＭＳ 明朝" w:eastAsia="ＭＳ 明朝"/>
                <w:b w:val="0"/>
                <w:sz w:val="19"/>
              </w:rPr>
              <w:t>水道水をつくって届けるのに必要な費用のうち、料金で賄えているのは5割程度です。不足分は一般会計からの繰入金などで補われています</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701"/>
          </w:tcPr>
          <w:p>
            <w:pPr>
              <w:spacing w:after="40"/>
              <w:jc w:val="center"/>
            </w:pPr>
            <w:r/>
            <w:r>
              <w:rPr>
                <w:rFonts w:ascii="ＭＳ 明朝" w:hAnsi="ＭＳ 明朝" w:eastAsia="ＭＳ 明朝"/>
                <w:b w:val="0"/>
                <w:sz w:val="19"/>
              </w:rPr>
              <w:t>令和8〜17年度で35.15億円</w:t>
            </w:r>
          </w:p>
        </w:tc>
        <w:tc>
          <w:tcPr>
            <w:tcW w:type="dxa" w:w="5726"/>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震災復興を優先したため先送りしてきた老朽管の更新、施設の耐震化、浄水場の高度処理設備の整備が必要となります</w:t>
            </w:r>
          </w:p>
        </w:tc>
      </w:tr>
      <w:tr>
        <w:tc>
          <w:tcPr>
            <w:tcW w:type="dxa" w:w="1928"/>
          </w:tcPr>
          <w:p>
            <w:pPr>
              <w:spacing w:after="40"/>
              <w:jc w:val="left"/>
            </w:pPr>
            <w:r/>
            <w:r>
              <w:rPr>
                <w:rFonts w:ascii="ＭＳ 明朝" w:hAnsi="ＭＳ 明朝" w:eastAsia="ＭＳ 明朝"/>
                <w:b w:val="0"/>
                <w:sz w:val="19"/>
              </w:rPr>
              <w:t>水需要が減り続ける</w:t>
            </w:r>
          </w:p>
        </w:tc>
        <w:tc>
          <w:tcPr>
            <w:tcW w:type="dxa" w:w="1701"/>
          </w:tcPr>
          <w:p>
            <w:pPr>
              <w:spacing w:after="40"/>
              <w:jc w:val="center"/>
            </w:pPr>
            <w:r/>
            <w:r>
              <w:rPr>
                <w:rFonts w:ascii="ＭＳ 明朝" w:hAnsi="ＭＳ 明朝" w:eastAsia="ＭＳ 明朝"/>
                <w:b w:val="0"/>
                <w:sz w:val="19"/>
              </w:rPr>
              <w:t>5年で約9％減少の見込み</w:t>
            </w:r>
          </w:p>
        </w:tc>
        <w:tc>
          <w:tcPr>
            <w:tcW w:type="dxa" w:w="5726"/>
          </w:tcPr>
          <w:p>
            <w:pPr>
              <w:spacing w:after="40"/>
              <w:jc w:val="center"/>
            </w:pPr>
            <w:r/>
            <w:r>
              <w:rPr>
                <w:rFonts w:ascii="ＭＳ 明朝" w:hAnsi="ＭＳ 明朝" w:eastAsia="ＭＳ 明朝"/>
                <w:b w:val="0"/>
                <w:sz w:val="19"/>
              </w:rPr>
              <w:t>人口減少と節水により使用水量が減るため、料金を据え置けば収入は毎年減ります</w:t>
            </w:r>
          </w:p>
        </w:tc>
      </w:tr>
      <w:tr>
        <w:tc>
          <w:tcPr>
            <w:tcW w:type="dxa" w:w="1928"/>
          </w:tcPr>
          <w:p>
            <w:pPr>
              <w:spacing w:after="40"/>
              <w:jc w:val="left"/>
            </w:pPr>
            <w:r/>
            <w:r>
              <w:rPr>
                <w:rFonts w:ascii="ＭＳ 明朝" w:hAnsi="ＭＳ 明朝" w:eastAsia="ＭＳ 明朝"/>
                <w:b w:val="0"/>
                <w:sz w:val="19"/>
              </w:rPr>
              <w:t>令和8年度は特殊な事情があります</w:t>
            </w:r>
          </w:p>
        </w:tc>
        <w:tc>
          <w:tcPr>
            <w:tcW w:type="dxa" w:w="1701"/>
          </w:tcPr>
          <w:p>
            <w:pPr>
              <w:spacing w:after="40"/>
              <w:jc w:val="center"/>
            </w:pPr>
            <w:r/>
            <w:r>
              <w:rPr>
                <w:rFonts w:ascii="ＭＳ 明朝" w:hAnsi="ＭＳ 明朝" w:eastAsia="ＭＳ 明朝"/>
                <w:b w:val="0"/>
                <w:sz w:val="19"/>
              </w:rPr>
              <w:t>基本料金等の免除</w:t>
            </w:r>
          </w:p>
        </w:tc>
        <w:tc>
          <w:tcPr>
            <w:tcW w:type="dxa" w:w="5726"/>
          </w:tcPr>
          <w:p>
            <w:pPr>
              <w:spacing w:after="40"/>
              <w:jc w:val="center"/>
            </w:pPr>
            <w:r/>
            <w:r>
              <w:rPr>
                <w:rFonts w:ascii="ＭＳ 明朝" w:hAnsi="ＭＳ 明朝" w:eastAsia="ＭＳ 明朝"/>
                <w:b w:val="0"/>
                <w:sz w:val="19"/>
              </w:rPr>
              <w:t>令和8年4〜6月請求分について、基本料金とメーター使用料を免除する措置がとられているとの情報があります。内容と会計上の扱いを町に確認のうえ、最終報告で数値に反映します</w:t>
            </w:r>
          </w:p>
        </w:tc>
      </w:tr>
      <w:tr>
        <w:tc>
          <w:tcPr>
            <w:tcW w:type="dxa" w:w="1928"/>
          </w:tcPr>
          <w:p>
            <w:pPr>
              <w:spacing w:after="40"/>
              <w:jc w:val="left"/>
            </w:pPr>
            <w:r/>
            <w:r>
              <w:rPr>
                <w:rFonts w:ascii="ＭＳ 明朝" w:hAnsi="ＭＳ 明朝" w:eastAsia="ＭＳ 明朝"/>
                <w:b w:val="0"/>
                <w:sz w:val="19"/>
              </w:rPr>
              <w:t>将来の更新への備えが必要</w:t>
            </w:r>
          </w:p>
        </w:tc>
        <w:tc>
          <w:tcPr>
            <w:tcW w:type="dxa" w:w="1701"/>
          </w:tcPr>
          <w:p>
            <w:pPr>
              <w:spacing w:after="40"/>
              <w:jc w:val="center"/>
            </w:pPr>
            <w:r/>
            <w:r>
              <w:rPr>
                <w:rFonts w:ascii="ＭＳ 明朝" w:hAnsi="ＭＳ 明朝" w:eastAsia="ＭＳ 明朝"/>
                <w:b w:val="0"/>
                <w:sz w:val="19"/>
              </w:rPr>
              <w:t>資産維持費3％</w:t>
            </w:r>
          </w:p>
        </w:tc>
        <w:tc>
          <w:tcPr>
            <w:tcW w:type="dxa" w:w="5726"/>
          </w:tcPr>
          <w:p>
            <w:pPr>
              <w:spacing w:after="40"/>
              <w:jc w:val="center"/>
            </w:pPr>
            <w:r/>
            <w:r>
              <w:rPr>
                <w:rFonts w:ascii="ＭＳ 明朝" w:hAnsi="ＭＳ 明朝" w:eastAsia="ＭＳ 明朝"/>
                <w:b w:val="0"/>
                <w:sz w:val="19"/>
              </w:rPr>
              <w:t>将来の施設更新に備えた費用を料金の原価に組み込む考え方です。日本水道協会の「水道料金算定要領」が標準として3％を示しています</w:t>
            </w:r>
          </w:p>
        </w:tc>
      </w:tr>
    </w:tbl>
    <w:p>
      <w:pPr>
        <w:spacing w:after="200" w:line="276" w:lineRule="auto"/>
      </w:pPr>
      <w:r>
        <w:rPr>
          <w:rFonts w:ascii="ＭＳ 明朝" w:hAnsi="ＭＳ 明朝" w:eastAsia="ＭＳ 明朝"/>
          <w:b w:val="0"/>
          <w:color w:val="595959"/>
          <w:sz w:val="17"/>
        </w:rPr>
        <w:t>※ 料金回収率は決算に基づく指標です。本報告で将来の必要額を算定する際には、将来の更新に備える費用を加えた別の基準を用いているため、数値が一致しない場合があります。</w:t>
      </w:r>
    </w:p>
    <w:p>
      <w:pPr>
        <w:spacing w:before="240" w:after="100"/>
      </w:pPr>
      <w:r>
        <w:rPr>
          <w:rFonts w:ascii="ＭＳ ゴシック" w:hAnsi="ＭＳ ゴシック" w:eastAsia="ＭＳ ゴシック"/>
          <w:b/>
          <w:color w:val="2E75B6"/>
          <w:sz w:val="23"/>
        </w:rPr>
        <w:t>２　検討している案（シンプル比較）</w:t>
      </w:r>
    </w:p>
    <w:p>
      <w:pPr>
        <w:spacing w:after="120" w:line="276" w:lineRule="auto"/>
      </w:pPr>
      <w:r>
        <w:rPr>
          <w:rFonts w:ascii="ＭＳ 明朝" w:hAnsi="ＭＳ 明朝" w:eastAsia="ＭＳ 明朝"/>
          <w:b w:val="0"/>
          <w:sz w:val="21"/>
        </w:rPr>
        <w:t>現時点で検討している案は次の3つです。いずれも金額は試算の段階であり、決算の確定値やご使用の実績を反映したうえで確定します。</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C案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まず不足額を半分にする幅で改定する</w:t>
            </w:r>
          </w:p>
        </w:tc>
        <w:tc>
          <w:tcPr>
            <w:tcW w:type="dxa" w:w="2721"/>
          </w:tcPr>
          <w:p>
            <w:pPr>
              <w:spacing w:after="40"/>
              <w:jc w:val="center"/>
            </w:pPr>
            <w:r/>
            <w:r>
              <w:rPr>
                <w:rFonts w:ascii="ＭＳ 明朝" w:hAnsi="ＭＳ 明朝" w:eastAsia="ＭＳ 明朝"/>
                <w:b w:val="0"/>
                <w:sz w:val="18"/>
              </w:rPr>
              <w:t>口径（水道管の太さ）に応じた基本料金へ変え、たくさん使うほど単価が上がるしくみにする</w:t>
            </w:r>
          </w:p>
        </w:tc>
      </w:tr>
      <w:tr>
        <w:tc>
          <w:tcPr>
            <w:tcW w:type="dxa" w:w="1474"/>
          </w:tcPr>
          <w:p>
            <w:pPr>
              <w:spacing w:after="40"/>
              <w:jc w:val="left"/>
            </w:pPr>
            <w:r/>
            <w:r>
              <w:rPr>
                <w:rFonts w:ascii="ＭＳ 明朝" w:hAnsi="ＭＳ 明朝" w:eastAsia="ＭＳ 明朝"/>
                <w:b w:val="0"/>
                <w:sz w:val="18"/>
              </w:rPr>
              <w:t>標準的なご家庭</w:t>
              <w:br/>
              <w:t>（20mm・月20㎥）</w:t>
            </w:r>
          </w:p>
        </w:tc>
        <w:tc>
          <w:tcPr>
            <w:tcW w:type="dxa" w:w="2608"/>
          </w:tcPr>
          <w:p>
            <w:pPr>
              <w:spacing w:after="40"/>
              <w:jc w:val="center"/>
            </w:pPr>
            <w:r/>
            <w:r>
              <w:rPr>
                <w:rFonts w:ascii="ＭＳ 明朝" w:hAnsi="ＭＳ 明朝" w:eastAsia="ＭＳ 明朝"/>
                <w:b w:val="0"/>
                <w:sz w:val="18"/>
              </w:rPr>
              <w:t>2,497円 → 4,969円</w:t>
              <w:br/>
              <w:t>（+2,472円）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4,166円</w:t>
              <w:br/>
              <w:t>（+1,669円）</w:t>
            </w:r>
          </w:p>
        </w:tc>
      </w:tr>
      <w:tr>
        <w:tc>
          <w:tcPr>
            <w:tcW w:type="dxa" w:w="1474"/>
          </w:tcPr>
          <w:p>
            <w:pPr>
              <w:spacing w:after="40"/>
              <w:jc w:val="left"/>
            </w:pPr>
            <w:r/>
            <w:r>
              <w:rPr>
                <w:rFonts w:ascii="ＭＳ 明朝" w:hAnsi="ＭＳ 明朝" w:eastAsia="ＭＳ 明朝"/>
                <w:b w:val="0"/>
                <w:sz w:val="18"/>
              </w:rPr>
              <w:t>たくさんお使いの方</w:t>
              <w:br/>
              <w:t>（50mm・月1,000㎥）</w:t>
            </w:r>
          </w:p>
        </w:tc>
        <w:tc>
          <w:tcPr>
            <w:tcW w:type="dxa" w:w="2608"/>
          </w:tcPr>
          <w:p>
            <w:pPr>
              <w:spacing w:after="40"/>
              <w:jc w:val="center"/>
            </w:pPr>
            <w:r/>
            <w:r>
              <w:rPr>
                <w:rFonts w:ascii="ＭＳ 明朝" w:hAnsi="ＭＳ 明朝" w:eastAsia="ＭＳ 明朝"/>
                <w:b w:val="0"/>
                <w:sz w:val="18"/>
              </w:rPr>
              <w:t>111,980円 → 222,846円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319,867円</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料金表から大口の割引がなくなる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水産加工業など大量にお使いの事業者の負担が大きく増える</w:t>
            </w:r>
          </w:p>
        </w:tc>
      </w:tr>
    </w:tbl>
    <w:p>
      <w:pPr>
        <w:spacing w:after="80" w:line="276" w:lineRule="auto"/>
      </w:pPr>
    </w:p>
    <w:p>
      <w:pPr>
        <w:spacing w:after="120" w:line="276" w:lineRule="auto"/>
      </w:pPr>
      <w:r>
        <w:rPr>
          <w:rFonts w:ascii="ＭＳ 明朝" w:hAnsi="ＭＳ 明朝" w:eastAsia="ＭＳ 明朝"/>
          <w:b w:val="0"/>
          <w:color w:val="595959"/>
          <w:sz w:val="18"/>
        </w:rPr>
        <w:t>※ 上記は、将来の更新に備える費用を含めた必要額を料金で回収する場合の試算値です。実際の改定にあたっては、段階的な実施と経過措置を組み合わせることを想定しています。事業者の例は、口径と使用水量を仮定した計算例であり、実在の事業者の金額ではありません。</w:t>
      </w:r>
    </w:p>
    <w:p>
      <w:pPr>
        <w:spacing w:before="240" w:after="100"/>
      </w:pPr>
      <w:r>
        <w:rPr>
          <w:rFonts w:ascii="ＭＳ ゴシック" w:hAnsi="ＭＳ ゴシック" w:eastAsia="ＭＳ ゴシック"/>
          <w:b/>
          <w:color w:val="2E75B6"/>
          <w:sz w:val="23"/>
        </w:rPr>
        <w:t>３　水産加工業への配慮について（検討中）</w:t>
      </w:r>
    </w:p>
    <w:p>
      <w:pPr>
        <w:spacing w:after="120" w:line="276" w:lineRule="auto"/>
      </w:pPr>
      <w:r>
        <w:rPr>
          <w:rFonts w:ascii="ＭＳ 明朝" w:hAnsi="ＭＳ 明朝" w:eastAsia="ＭＳ 明朝"/>
          <w:b w:val="0"/>
          <w:sz w:val="21"/>
        </w:rPr>
        <w:t>C案のように口径別のしくみへ変えると、水産加工業をはじめ大量にお使いの事業者の負担が大きく増えます。このため、産業向けの特例を併せて設けることを検討しています（D案）。</w:t>
      </w:r>
    </w:p>
    <w:p>
      <w:pPr>
        <w:spacing w:after="160" w:line="276" w:lineRule="auto"/>
      </w:pPr>
      <w:r>
        <w:rPr>
          <w:rFonts w:ascii="ＭＳ 明朝" w:hAnsi="ＭＳ 明朝" w:eastAsia="ＭＳ 明朝"/>
          <w:b w:val="0"/>
          <w:color w:val="C00000"/>
          <w:sz w:val="21"/>
        </w:rPr>
        <w:t>ただし現時点の特例案には、対象になる水量の境目で料金が大きく下がってしまうという設計上の問題があり、適用のしかたを決め直す必要があります。町全体でどれだけ収入が減るかも、ご使用の実績をいただいたうえで算定します。このため、D案の具体的な金額は本資料ではお示ししていません。</w:t>
      </w:r>
    </w:p>
    <w:p>
      <w:pPr>
        <w:spacing w:before="240" w:after="100"/>
      </w:pPr>
      <w:r>
        <w:rPr>
          <w:rFonts w:ascii="ＭＳ ゴシック" w:hAnsi="ＭＳ ゴシック" w:eastAsia="ＭＳ ゴシック"/>
          <w:b/>
          <w:color w:val="2E75B6"/>
          <w:sz w:val="23"/>
        </w:rPr>
        <w:t>４　ご負担の変わり方（C案・しくみを変える場合）</w:t>
      </w:r>
    </w:p>
    <w:p>
      <w:pPr>
        <w:spacing w:after="120" w:line="276" w:lineRule="auto"/>
      </w:pPr>
      <w:r>
        <w:rPr>
          <w:rFonts w:ascii="ＭＳ 明朝" w:hAnsi="ＭＳ 明朝" w:eastAsia="ＭＳ 明朝"/>
          <w:b w:val="0"/>
          <w:sz w:val="21"/>
        </w:rPr>
        <w:t>しくみを変える案では、口径と使用水量の組合せによって変わり方が異なります。</w:t>
      </w:r>
    </w:p>
    <w:tbl>
      <w:tblPr>
        <w:tblStyle w:val="TableGrid"/>
        <w:tblW w:type="auto" w:w="0"/>
        <w:jc w:val="center"/>
        <w:tblLayout w:type="fixed"/>
        <w:tblLook w:firstColumn="1" w:firstRow="1" w:lastColumn="0" w:lastRow="0" w:noHBand="0" w:noVBand="1" w:val="04A0"/>
      </w:tblPr>
      <w:tblGrid>
        <w:gridCol w:w="4986"/>
        <w:gridCol w:w="4986"/>
      </w:tblGrid>
      <w:tr>
        <w:tc>
          <w:tcPr>
            <w:tcW w:type="dxa" w:w="3402"/>
            <w:shd w:val="clear" w:fill="2E75B6"/>
          </w:tcPr>
          <w:p>
            <w:pPr>
              <w:spacing w:after="40"/>
              <w:jc w:val="center"/>
            </w:pPr>
            <w:r/>
            <w:r>
              <w:rPr>
                <w:rFonts w:ascii="ＭＳ ゴシック" w:hAnsi="ＭＳ ゴシック" w:eastAsia="ＭＳ ゴシック"/>
                <w:b/>
                <w:color w:val="FFFFFF"/>
                <w:sz w:val="19"/>
              </w:rPr>
              <w:t>お使いの状況</w:t>
            </w:r>
          </w:p>
        </w:tc>
        <w:tc>
          <w:tcPr>
            <w:tcW w:type="dxa" w:w="5953"/>
            <w:shd w:val="clear" w:fill="2E75B6"/>
          </w:tcPr>
          <w:p>
            <w:pPr>
              <w:spacing w:after="40"/>
              <w:jc w:val="center"/>
            </w:pPr>
            <w:r/>
            <w:r>
              <w:rPr>
                <w:rFonts w:ascii="ＭＳ ゴシック" w:hAnsi="ＭＳ ゴシック" w:eastAsia="ＭＳ ゴシック"/>
                <w:b/>
                <w:color w:val="FFFFFF"/>
                <w:sz w:val="19"/>
              </w:rPr>
              <w:t>変わり方</w:t>
            </w:r>
          </w:p>
        </w:tc>
      </w:tr>
      <w:tr>
        <w:tc>
          <w:tcPr>
            <w:tcW w:type="dxa" w:w="3402"/>
          </w:tcPr>
          <w:p>
            <w:pPr>
              <w:spacing w:after="40"/>
              <w:jc w:val="left"/>
            </w:pPr>
            <w:r/>
            <w:r>
              <w:rPr>
                <w:rFonts w:ascii="ＭＳ 明朝" w:hAnsi="ＭＳ 明朝" w:eastAsia="ＭＳ 明朝"/>
                <w:b w:val="0"/>
                <w:sz w:val="19"/>
              </w:rPr>
              <w:t>13mm・月3㎥程度まで</w:t>
            </w:r>
          </w:p>
        </w:tc>
        <w:tc>
          <w:tcPr>
            <w:tcW w:type="dxa" w:w="5953"/>
          </w:tcPr>
          <w:p>
            <w:pPr>
              <w:spacing w:after="40"/>
              <w:jc w:val="center"/>
            </w:pPr>
            <w:r/>
            <w:r>
              <w:rPr>
                <w:rFonts w:ascii="ＭＳ 明朝" w:hAnsi="ＭＳ 明朝" w:eastAsia="ＭＳ 明朝"/>
                <w:b w:val="0"/>
                <w:sz w:val="19"/>
              </w:rPr>
              <w:t>現行より下がります</w:t>
            </w:r>
          </w:p>
        </w:tc>
      </w:tr>
      <w:tr>
        <w:tc>
          <w:tcPr>
            <w:tcW w:type="dxa" w:w="3402"/>
          </w:tcPr>
          <w:p>
            <w:pPr>
              <w:spacing w:after="40"/>
              <w:jc w:val="left"/>
            </w:pPr>
            <w:r/>
            <w:r>
              <w:rPr>
                <w:rFonts w:ascii="ＭＳ 明朝" w:hAnsi="ＭＳ 明朝" w:eastAsia="ＭＳ 明朝"/>
                <w:b w:val="0"/>
                <w:sz w:val="19"/>
              </w:rPr>
              <w:t>13mm・月6〜10㎥</w:t>
            </w:r>
          </w:p>
        </w:tc>
        <w:tc>
          <w:tcPr>
            <w:tcW w:type="dxa" w:w="5953"/>
          </w:tcPr>
          <w:p>
            <w:pPr>
              <w:spacing w:after="40"/>
              <w:jc w:val="center"/>
            </w:pPr>
            <w:r/>
            <w:r>
              <w:rPr>
                <w:rFonts w:ascii="ＭＳ 明朝" w:hAnsi="ＭＳ 明朝" w:eastAsia="ＭＳ 明朝"/>
                <w:b w:val="0"/>
                <w:sz w:val="19"/>
              </w:rPr>
              <w:t>1,265円 → 1,465円程度（約1.16倍）</w:t>
            </w:r>
          </w:p>
        </w:tc>
      </w:tr>
      <w:tr>
        <w:tc>
          <w:tcPr>
            <w:tcW w:type="dxa" w:w="3402"/>
          </w:tcPr>
          <w:p>
            <w:pPr>
              <w:spacing w:after="40"/>
              <w:jc w:val="left"/>
            </w:pPr>
            <w:r/>
            <w:r>
              <w:rPr>
                <w:rFonts w:ascii="ＭＳ 明朝" w:hAnsi="ＭＳ 明朝" w:eastAsia="ＭＳ 明朝"/>
                <w:b w:val="0"/>
                <w:sz w:val="19"/>
              </w:rPr>
              <w:t>20mm・月20㎥（標準的なご家庭）</w:t>
            </w:r>
          </w:p>
        </w:tc>
        <w:tc>
          <w:tcPr>
            <w:tcW w:type="dxa" w:w="5953"/>
          </w:tcPr>
          <w:p>
            <w:pPr>
              <w:spacing w:after="40"/>
              <w:jc w:val="center"/>
            </w:pPr>
            <w:r/>
            <w:r>
              <w:rPr>
                <w:rFonts w:ascii="ＭＳ 明朝" w:hAnsi="ＭＳ 明朝" w:eastAsia="ＭＳ 明朝"/>
                <w:b w:val="0"/>
                <w:sz w:val="19"/>
              </w:rPr>
              <w:t>2,497円 → 4,166円（約1.67倍）</w:t>
            </w:r>
          </w:p>
        </w:tc>
      </w:tr>
      <w:tr>
        <w:tc>
          <w:tcPr>
            <w:tcW w:type="dxa" w:w="3402"/>
          </w:tcPr>
          <w:p>
            <w:pPr>
              <w:spacing w:after="40"/>
              <w:jc w:val="left"/>
            </w:pPr>
            <w:r/>
            <w:r>
              <w:rPr>
                <w:rFonts w:ascii="ＭＳ 明朝" w:hAnsi="ＭＳ 明朝" w:eastAsia="ＭＳ 明朝"/>
                <w:b w:val="0"/>
                <w:sz w:val="19"/>
              </w:rPr>
              <w:t>口径が大きく使用量が少ない場合</w:t>
            </w:r>
          </w:p>
        </w:tc>
        <w:tc>
          <w:tcPr>
            <w:tcW w:type="dxa" w:w="5953"/>
          </w:tcPr>
          <w:p>
            <w:pPr>
              <w:spacing w:after="40"/>
              <w:jc w:val="center"/>
            </w:pPr>
            <w:r/>
            <w:r>
              <w:rPr>
                <w:rFonts w:ascii="ＭＳ 明朝" w:hAnsi="ＭＳ 明朝" w:eastAsia="ＭＳ 明朝"/>
                <w:b w:val="0"/>
                <w:sz w:val="19"/>
              </w:rPr>
              <w:t>基本料金が口径に応じた額になるため、倍率が高くなります</w:t>
            </w:r>
          </w:p>
        </w:tc>
      </w:tr>
      <w:tr>
        <w:tc>
          <w:tcPr>
            <w:tcW w:type="dxa" w:w="3402"/>
          </w:tcPr>
          <w:p>
            <w:pPr>
              <w:spacing w:after="40"/>
              <w:jc w:val="left"/>
            </w:pPr>
            <w:r/>
            <w:r>
              <w:rPr>
                <w:rFonts w:ascii="ＭＳ 明朝" w:hAnsi="ＭＳ 明朝" w:eastAsia="ＭＳ 明朝"/>
                <w:b w:val="0"/>
                <w:sz w:val="19"/>
              </w:rPr>
              <w:t>使用量が多い場合</w:t>
            </w:r>
          </w:p>
        </w:tc>
        <w:tc>
          <w:tcPr>
            <w:tcW w:type="dxa" w:w="5953"/>
          </w:tcPr>
          <w:p>
            <w:pPr>
              <w:spacing w:after="40"/>
              <w:jc w:val="center"/>
            </w:pPr>
            <w:r/>
            <w:r>
              <w:rPr>
                <w:rFonts w:ascii="ＭＳ 明朝" w:hAnsi="ＭＳ 明朝" w:eastAsia="ＭＳ 明朝"/>
                <w:b w:val="0"/>
                <w:sz w:val="19"/>
              </w:rPr>
              <w:t>1㎥あたりの単価が上がるため、倍率が高くなります</w:t>
            </w:r>
          </w:p>
        </w:tc>
      </w:tr>
    </w:tbl>
    <w:p>
      <w:pPr>
        <w:spacing w:after="200" w:line="276" w:lineRule="auto"/>
      </w:pPr>
      <w:r>
        <w:rPr>
          <w:rFonts w:ascii="ＭＳ 明朝" w:hAnsi="ＭＳ 明朝" w:eastAsia="ＭＳ 明朝"/>
          <w:b w:val="0"/>
          <w:color w:val="595959"/>
          <w:sz w:val="17"/>
        </w:rPr>
        <w:t>※ 現時点では代表的な例による試算です。実際の請求データに基づく集計は最終報告でお示しします。</w:t>
      </w:r>
    </w:p>
    <w:p>
      <w:pPr>
        <w:spacing w:before="240" w:after="100"/>
      </w:pPr>
      <w:r>
        <w:rPr>
          <w:rFonts w:ascii="ＭＳ ゴシック" w:hAnsi="ＭＳ ゴシック" w:eastAsia="ＭＳ ゴシック"/>
          <w:b/>
          <w:color w:val="2E75B6"/>
          <w:sz w:val="23"/>
        </w:rPr>
        <w:t>５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中間報告（本資料のもとになる報告書）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決算の確定値・ご使用の実績を反映した最終報告</w:t>
            </w:r>
          </w:p>
        </w:tc>
      </w:tr>
      <w:tr>
        <w:tc>
          <w:tcPr>
            <w:tcW w:type="dxa" w:w="2268"/>
          </w:tcPr>
          <w:p>
            <w:pPr>
              <w:spacing w:after="40"/>
              <w:jc w:val="left"/>
            </w:pPr>
            <w:r/>
            <w:r>
              <w:rPr>
                <w:rFonts w:ascii="ＭＳ 明朝" w:hAnsi="ＭＳ 明朝" w:eastAsia="ＭＳ 明朝"/>
                <w:b w:val="0"/>
                <w:sz w:val="19"/>
              </w:rPr>
              <w:t>令和9年1月ごろ</w:t>
            </w:r>
          </w:p>
        </w:tc>
        <w:tc>
          <w:tcPr>
            <w:tcW w:type="dxa" w:w="7087"/>
          </w:tcPr>
          <w:p>
            <w:pPr>
              <w:spacing w:after="40"/>
              <w:jc w:val="center"/>
            </w:pPr>
            <w:r/>
            <w:r>
              <w:rPr>
                <w:rFonts w:ascii="ＭＳ 明朝" w:hAnsi="ＭＳ 明朝" w:eastAsia="ＭＳ 明朝"/>
                <w:b w:val="0"/>
                <w:sz w:val="19"/>
              </w:rPr>
              <w:t>改定案の決定、住民説明会・事業者への個別説明</w:t>
            </w:r>
          </w:p>
        </w:tc>
      </w:tr>
      <w:tr>
        <w:tc>
          <w:tcPr>
            <w:tcW w:type="dxa" w:w="2268"/>
          </w:tcPr>
          <w:p>
            <w:pPr>
              <w:spacing w:after="40"/>
              <w:jc w:val="left"/>
            </w:pPr>
            <w:r/>
            <w:r>
              <w:rPr>
                <w:rFonts w:ascii="ＭＳ 明朝" w:hAnsi="ＭＳ 明朝" w:eastAsia="ＭＳ 明朝"/>
                <w:b w:val="0"/>
                <w:sz w:val="19"/>
              </w:rPr>
              <w:t>令和9年3月</w:t>
            </w:r>
          </w:p>
        </w:tc>
        <w:tc>
          <w:tcPr>
            <w:tcW w:type="dxa" w:w="7087"/>
          </w:tcPr>
          <w:p>
            <w:pPr>
              <w:spacing w:after="40"/>
              <w:jc w:val="center"/>
            </w:pPr>
            <w:r/>
            <w:r>
              <w:rPr>
                <w:rFonts w:ascii="ＭＳ 明朝" w:hAnsi="ＭＳ 明朝" w:eastAsia="ＭＳ 明朝"/>
                <w:b w:val="0"/>
                <w:sz w:val="19"/>
              </w:rPr>
              <w:t>条例改正案の議会提出・議決</w:t>
            </w:r>
          </w:p>
        </w:tc>
      </w:tr>
      <w:tr>
        <w:tc>
          <w:tcPr>
            <w:tcW w:type="dxa" w:w="2268"/>
          </w:tcPr>
          <w:p>
            <w:pPr>
              <w:spacing w:after="40"/>
              <w:jc w:val="left"/>
            </w:pPr>
            <w:r/>
            <w:r>
              <w:rPr>
                <w:rFonts w:ascii="ＭＳ 明朝" w:hAnsi="ＭＳ 明朝" w:eastAsia="ＭＳ 明朝"/>
                <w:b w:val="0"/>
                <w:sz w:val="19"/>
              </w:rPr>
              <w:t>令和9年4月以降</w:t>
            </w:r>
          </w:p>
        </w:tc>
        <w:tc>
          <w:tcPr>
            <w:tcW w:type="dxa" w:w="7087"/>
          </w:tcPr>
          <w:p>
            <w:pPr>
              <w:spacing w:after="40"/>
              <w:jc w:val="center"/>
            </w:pPr>
            <w:r/>
            <w:r>
              <w:rPr>
                <w:rFonts w:ascii="ＭＳ 明朝" w:hAnsi="ＭＳ 明朝" w:eastAsia="ＭＳ 明朝"/>
                <w:b w:val="0"/>
                <w:sz w:val="19"/>
              </w:rPr>
              <w:t>新しい料金の適用開始（経過措置を設ける場合はその運用）</w:t>
            </w:r>
          </w:p>
        </w:tc>
      </w:tr>
    </w:tbl>
    <w:p>
      <w:pPr>
        <w:spacing w:after="200" w:line="276" w:lineRule="auto"/>
      </w:pPr>
      <w:r>
        <w:rPr>
          <w:rFonts w:ascii="ＭＳ 明朝" w:hAnsi="ＭＳ 明朝" w:eastAsia="ＭＳ 明朝"/>
          <w:b w:val="0"/>
          <w:color w:val="595959"/>
          <w:sz w:val="17"/>
        </w:rPr>
        <w:t>※ 議決の時期と新しい料金の適用開始は別です。適用開始は令和9年4月以降を想定しており、令和8年度の料金は現行のままです。</w:t>
      </w:r>
    </w:p>
    <w:p>
      <w:r>
        <w:br w:type="page"/>
      </w:r>
    </w:p>
    <w:p>
      <w:pPr>
        <w:spacing w:before="320" w:after="160"/>
        <w:pBdr>
          <w:bottom w:val="single" w:sz="12" w:space="2" w:color="1F3864"/>
        </w:pBdr>
      </w:pPr>
      <w:r>
        <w:rPr>
          <w:rFonts w:ascii="ＭＳ ゴシック" w:hAnsi="ＭＳ ゴシック" w:eastAsia="ＭＳ ゴシック"/>
          <w:b/>
          <w:color w:val="1F3864"/>
          <w:sz w:val="28"/>
        </w:rPr>
        <w:t>第12章　今後の作業と確認事項</w:t>
      </w:r>
    </w:p>
    <w:p>
      <w:pPr>
        <w:spacing w:before="240" w:after="100"/>
      </w:pPr>
      <w:r>
        <w:rPr>
          <w:rFonts w:ascii="ＭＳ ゴシック" w:hAnsi="ＭＳ ゴシック" w:eastAsia="ＭＳ ゴシック"/>
          <w:b/>
          <w:color w:val="2E75B6"/>
          <w:sz w:val="23"/>
        </w:rPr>
        <w:t>12-1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14"/>
            <w:shd w:val="clear" w:fill="2E75B6"/>
          </w:tcPr>
          <w:p>
            <w:pPr>
              <w:spacing w:after="40"/>
              <w:jc w:val="center"/>
            </w:pPr>
            <w:r/>
            <w:r>
              <w:rPr>
                <w:rFonts w:ascii="ＭＳ ゴシック" w:hAnsi="ＭＳ ゴシック" w:eastAsia="ＭＳ ゴシック"/>
                <w:b/>
                <w:color w:val="FFFFFF"/>
                <w:sz w:val="18"/>
              </w:rPr>
              <w:t>事項</w:t>
            </w:r>
          </w:p>
        </w:tc>
        <w:tc>
          <w:tcPr>
            <w:tcW w:type="dxa" w:w="4195"/>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814"/>
          </w:tcPr>
          <w:p>
            <w:pPr>
              <w:spacing w:after="40"/>
              <w:jc w:val="left"/>
            </w:pPr>
            <w:r/>
            <w:r>
              <w:rPr>
                <w:rFonts w:ascii="ＭＳ 明朝" w:hAnsi="ＭＳ 明朝" w:eastAsia="ＭＳ 明朝"/>
                <w:b w:val="0"/>
                <w:sz w:val="18"/>
              </w:rPr>
              <w:t>一般会計繰入金の整理</w:t>
            </w:r>
          </w:p>
        </w:tc>
        <w:tc>
          <w:tcPr>
            <w:tcW w:type="dxa" w:w="4195"/>
          </w:tcPr>
          <w:p>
            <w:pPr>
              <w:spacing w:after="40"/>
              <w:jc w:val="center"/>
            </w:pPr>
            <w:r/>
            <w:r>
              <w:rPr>
                <w:rFonts w:ascii="ＭＳ 明朝" w:hAnsi="ＭＳ 明朝" w:eastAsia="ＭＳ 明朝"/>
                <w:b w:val="0"/>
                <w:sz w:val="18"/>
              </w:rPr>
              <w:t>本報告は他会計補助金272,997千円を基準内繰入金として控除している。繰出基準の条項別・費目別の区分、基準内と基準外の切り分け、算定根拠を確認したい</w:t>
            </w:r>
          </w:p>
        </w:tc>
        <w:tc>
          <w:tcPr>
            <w:tcW w:type="dxa" w:w="3345"/>
          </w:tcPr>
          <w:p>
            <w:pPr>
              <w:spacing w:after="40"/>
              <w:jc w:val="center"/>
            </w:pPr>
            <w:r/>
            <w:r>
              <w:rPr>
                <w:rFonts w:ascii="ＭＳ 明朝" w:hAnsi="ＭＳ 明朝" w:eastAsia="ＭＳ 明朝"/>
                <w:b w:val="0"/>
                <w:sz w:val="18"/>
              </w:rPr>
              <w:t>控除しない場合、必要改定率は1.99倍から2.45倍へ</w:t>
            </w:r>
          </w:p>
        </w:tc>
      </w:tr>
      <w:tr>
        <w:tc>
          <w:tcPr>
            <w:tcW w:type="dxa" w:w="1814"/>
          </w:tcPr>
          <w:p>
            <w:pPr>
              <w:spacing w:after="40"/>
              <w:jc w:val="left"/>
            </w:pPr>
            <w:r/>
            <w:r>
              <w:rPr>
                <w:rFonts w:ascii="ＭＳ 明朝" w:hAnsi="ＭＳ 明朝" w:eastAsia="ＭＳ 明朝"/>
                <w:b w:val="0"/>
                <w:sz w:val="18"/>
              </w:rPr>
              <w:t>固定資産台帳残高</w:t>
            </w:r>
          </w:p>
        </w:tc>
        <w:tc>
          <w:tcPr>
            <w:tcW w:type="dxa" w:w="4195"/>
          </w:tcPr>
          <w:p>
            <w:pPr>
              <w:spacing w:after="40"/>
              <w:jc w:val="center"/>
            </w:pPr>
            <w:r/>
            <w:r>
              <w:rPr>
                <w:rFonts w:ascii="ＭＳ 明朝" w:hAnsi="ＭＳ 明朝" w:eastAsia="ＭＳ 明朝"/>
                <w:b w:val="0"/>
                <w:sz w:val="18"/>
              </w:rPr>
              <w:t>令和8年4月1日時点の対象資産残高（資産維持費の算定基礎）</w:t>
            </w:r>
          </w:p>
        </w:tc>
        <w:tc>
          <w:tcPr>
            <w:tcW w:type="dxa" w:w="3345"/>
          </w:tcPr>
          <w:p>
            <w:pPr>
              <w:spacing w:after="40"/>
              <w:jc w:val="center"/>
            </w:pPr>
            <w:r/>
            <w:r>
              <w:rPr>
                <w:rFonts w:ascii="ＭＳ 明朝" w:hAnsi="ＭＳ 明朝" w:eastAsia="ＭＳ 明朝"/>
                <w:b w:val="0"/>
                <w:sz w:val="18"/>
              </w:rPr>
              <w:t>対象資産が100,000千円変わると必要改定率は約0.025倍</w:t>
            </w:r>
          </w:p>
        </w:tc>
      </w:tr>
      <w:tr>
        <w:tc>
          <w:tcPr>
            <w:tcW w:type="dxa" w:w="1814"/>
          </w:tcPr>
          <w:p>
            <w:pPr>
              <w:spacing w:after="40"/>
              <w:jc w:val="left"/>
            </w:pPr>
            <w:r/>
            <w:r>
              <w:rPr>
                <w:rFonts w:ascii="ＭＳ 明朝" w:hAnsi="ＭＳ 明朝" w:eastAsia="ＭＳ 明朝"/>
                <w:b w:val="0"/>
                <w:sz w:val="18"/>
              </w:rPr>
              <w:t>企業債の借入予定利率</w:t>
            </w:r>
          </w:p>
        </w:tc>
        <w:tc>
          <w:tcPr>
            <w:tcW w:type="dxa" w:w="4195"/>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w:t>
            </w:r>
          </w:p>
        </w:tc>
      </w:tr>
      <w:tr>
        <w:tc>
          <w:tcPr>
            <w:tcW w:type="dxa" w:w="1814"/>
          </w:tcPr>
          <w:p>
            <w:pPr>
              <w:spacing w:after="40"/>
              <w:jc w:val="left"/>
            </w:pPr>
            <w:r/>
            <w:r>
              <w:rPr>
                <w:rFonts w:ascii="ＭＳ 明朝" w:hAnsi="ＭＳ 明朝" w:eastAsia="ＭＳ 明朝"/>
                <w:b w:val="0"/>
                <w:sz w:val="18"/>
              </w:rPr>
              <w:t>償却年数の区分</w:t>
            </w:r>
          </w:p>
        </w:tc>
        <w:tc>
          <w:tcPr>
            <w:tcW w:type="dxa" w:w="4195"/>
          </w:tcPr>
          <w:p>
            <w:pPr>
              <w:spacing w:after="40"/>
              <w:jc w:val="center"/>
            </w:pPr>
            <w:r/>
            <w:r>
              <w:rPr>
                <w:rFonts w:ascii="ＭＳ 明朝" w:hAnsi="ＭＳ 明朝" w:eastAsia="ＭＳ 明朝"/>
                <w:b w:val="0"/>
                <w:sz w:val="18"/>
              </w:rPr>
              <w:t>調査票は4事業とも40年。鷲神高度処理設備は機械・電気設備を含む</w:t>
            </w:r>
          </w:p>
        </w:tc>
        <w:tc>
          <w:tcPr>
            <w:tcW w:type="dxa" w:w="3345"/>
          </w:tcPr>
          <w:p>
            <w:pPr>
              <w:spacing w:after="40"/>
              <w:jc w:val="center"/>
            </w:pPr>
            <w:r/>
            <w:r>
              <w:rPr>
                <w:rFonts w:ascii="ＭＳ 明朝" w:hAnsi="ＭＳ 明朝" w:eastAsia="ＭＳ 明朝"/>
                <w:b w:val="0"/>
                <w:sz w:val="18"/>
              </w:rPr>
              <w:t>機械・電気を20年とすると必要改定率は0.12倍程度上がる</w:t>
            </w:r>
          </w:p>
        </w:tc>
      </w:tr>
      <w:tr>
        <w:tc>
          <w:tcPr>
            <w:tcW w:type="dxa" w:w="1814"/>
          </w:tcPr>
          <w:p>
            <w:pPr>
              <w:spacing w:after="40"/>
              <w:jc w:val="left"/>
            </w:pPr>
            <w:r/>
            <w:r>
              <w:rPr>
                <w:rFonts w:ascii="ＭＳ 明朝" w:hAnsi="ＭＳ 明朝" w:eastAsia="ＭＳ 明朝"/>
                <w:b w:val="0"/>
                <w:sz w:val="18"/>
              </w:rPr>
              <w:t>構造物及び設備の減</w:t>
            </w:r>
          </w:p>
        </w:tc>
        <w:tc>
          <w:tcPr>
            <w:tcW w:type="dxa" w:w="4195"/>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814"/>
          </w:tcPr>
          <w:p>
            <w:pPr>
              <w:spacing w:after="40"/>
              <w:jc w:val="left"/>
            </w:pPr>
            <w:r/>
            <w:r>
              <w:rPr>
                <w:rFonts w:ascii="ＭＳ 明朝" w:hAnsi="ＭＳ 明朝" w:eastAsia="ＭＳ 明朝"/>
                <w:b w:val="0"/>
                <w:sz w:val="18"/>
              </w:rPr>
              <w:t>量水器の更新費</w:t>
            </w:r>
          </w:p>
        </w:tc>
        <w:tc>
          <w:tcPr>
            <w:tcW w:type="dxa" w:w="4195"/>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別途見込む場合は必要改定率が0.02倍程度上がる</w:t>
            </w:r>
          </w:p>
        </w:tc>
      </w:tr>
      <w:tr>
        <w:tc>
          <w:tcPr>
            <w:tcW w:type="dxa" w:w="1814"/>
          </w:tcPr>
          <w:p>
            <w:pPr>
              <w:spacing w:after="40"/>
              <w:jc w:val="left"/>
            </w:pPr>
            <w:r/>
            <w:r>
              <w:rPr>
                <w:rFonts w:ascii="ＭＳ 明朝" w:hAnsi="ＭＳ 明朝" w:eastAsia="ＭＳ 明朝"/>
                <w:b w:val="0"/>
                <w:sz w:val="18"/>
              </w:rPr>
              <w:t>江島海底送水管の区分</w:t>
            </w:r>
          </w:p>
        </w:tc>
        <w:tc>
          <w:tcPr>
            <w:tcW w:type="dxa" w:w="4195"/>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814"/>
          </w:tcPr>
          <w:p>
            <w:pPr>
              <w:spacing w:after="40"/>
              <w:jc w:val="left"/>
            </w:pPr>
            <w:r/>
            <w:r>
              <w:rPr>
                <w:rFonts w:ascii="ＭＳ 明朝" w:hAnsi="ＭＳ 明朝" w:eastAsia="ＭＳ 明朝"/>
                <w:b w:val="0"/>
                <w:sz w:val="18"/>
              </w:rPr>
              <w:t>出島大橋経由への送水切替</w:t>
            </w:r>
          </w:p>
        </w:tc>
        <w:tc>
          <w:tcPr>
            <w:tcW w:type="dxa" w:w="4195"/>
          </w:tcPr>
          <w:p>
            <w:pPr>
              <w:spacing w:after="40"/>
              <w:jc w:val="center"/>
            </w:pPr>
            <w:r/>
            <w:r>
              <w:rPr>
                <w:rFonts w:ascii="ＭＳ 明朝" w:hAnsi="ＭＳ 明朝" w:eastAsia="ＭＳ 明朝"/>
                <w:b w:val="0"/>
                <w:sz w:val="18"/>
              </w:rPr>
              <w:t>切替の完了時期と切替後の維持管理費・施設の取扱い</w:t>
            </w:r>
          </w:p>
        </w:tc>
        <w:tc>
          <w:tcPr>
            <w:tcW w:type="dxa" w:w="3345"/>
          </w:tcPr>
          <w:p>
            <w:pPr>
              <w:spacing w:after="40"/>
              <w:jc w:val="center"/>
            </w:pPr>
            <w:r/>
            <w:r>
              <w:rPr>
                <w:rFonts w:ascii="ＭＳ 明朝" w:hAnsi="ＭＳ 明朝" w:eastAsia="ＭＳ 明朝"/>
                <w:b w:val="0"/>
                <w:sz w:val="18"/>
              </w:rPr>
              <w:t>維持管理費と資産の前提に影響</w:t>
            </w:r>
          </w:p>
        </w:tc>
      </w:tr>
      <w:tr>
        <w:tc>
          <w:tcPr>
            <w:tcW w:type="dxa" w:w="1814"/>
          </w:tcPr>
          <w:p>
            <w:pPr>
              <w:spacing w:after="40"/>
              <w:jc w:val="left"/>
            </w:pPr>
            <w:r/>
            <w:r>
              <w:rPr>
                <w:rFonts w:ascii="ＭＳ 明朝" w:hAnsi="ＭＳ 明朝" w:eastAsia="ＭＳ 明朝"/>
                <w:b w:val="0"/>
                <w:sz w:val="18"/>
              </w:rPr>
              <w:t>使用者別の調定明細</w:t>
            </w:r>
          </w:p>
        </w:tc>
        <w:tc>
          <w:tcPr>
            <w:tcW w:type="dxa" w:w="4195"/>
          </w:tcPr>
          <w:p>
            <w:pPr>
              <w:spacing w:after="40"/>
              <w:jc w:val="center"/>
            </w:pPr>
            <w:r/>
            <w:r>
              <w:rPr>
                <w:rFonts w:ascii="ＭＳ 明朝" w:hAnsi="ＭＳ 明朝" w:eastAsia="ＭＳ 明朝"/>
                <w:b w:val="0"/>
                <w:sz w:val="18"/>
              </w:rPr>
              <w:t>使用者番号・業種・口径・月別水量・用途・減免を含む明細</w:t>
            </w:r>
          </w:p>
        </w:tc>
        <w:tc>
          <w:tcPr>
            <w:tcW w:type="dxa" w:w="3345"/>
          </w:tcPr>
          <w:p>
            <w:pPr>
              <w:spacing w:after="40"/>
              <w:jc w:val="center"/>
            </w:pPr>
            <w:r/>
            <w:r>
              <w:rPr>
                <w:rFonts w:ascii="ＭＳ 明朝" w:hAnsi="ＭＳ 明朝" w:eastAsia="ＭＳ 明朝"/>
                <w:b w:val="0"/>
                <w:sz w:val="18"/>
              </w:rPr>
              <w:t>口径別料金案の検証、特例対象者の特定、影響件数の集計に必須</w:t>
            </w:r>
          </w:p>
        </w:tc>
      </w:tr>
      <w:tr>
        <w:tc>
          <w:tcPr>
            <w:tcW w:type="dxa" w:w="1814"/>
          </w:tcPr>
          <w:p>
            <w:pPr>
              <w:spacing w:after="40"/>
              <w:jc w:val="left"/>
            </w:pPr>
            <w:r/>
            <w:r>
              <w:rPr>
                <w:rFonts w:ascii="ＭＳ 明朝" w:hAnsi="ＭＳ 明朝" w:eastAsia="ＭＳ 明朝"/>
                <w:b w:val="0"/>
                <w:sz w:val="18"/>
              </w:rPr>
              <w:t>特殊用途区分の実務</w:t>
            </w:r>
          </w:p>
        </w:tc>
        <w:tc>
          <w:tcPr>
            <w:tcW w:type="dxa" w:w="4195"/>
          </w:tcPr>
          <w:p>
            <w:pPr>
              <w:spacing w:after="40"/>
              <w:jc w:val="center"/>
            </w:pPr>
            <w:r/>
            <w:r>
              <w:rPr>
                <w:rFonts w:ascii="ＭＳ 明朝" w:hAnsi="ＭＳ 明朝" w:eastAsia="ＭＳ 明朝"/>
                <w:b w:val="0"/>
                <w:sz w:val="18"/>
              </w:rPr>
              <w:t>湯屋用・船舶用のメーター使用料の取扱い（免除の有無）、船舶用（委託）の請求単位と対象者</w:t>
            </w:r>
          </w:p>
        </w:tc>
        <w:tc>
          <w:tcPr>
            <w:tcW w:type="dxa" w:w="3345"/>
          </w:tcPr>
          <w:p>
            <w:pPr>
              <w:spacing w:after="40"/>
              <w:jc w:val="center"/>
            </w:pPr>
            <w:r/>
            <w:r>
              <w:rPr>
                <w:rFonts w:ascii="ＭＳ 明朝" w:hAnsi="ＭＳ 明朝" w:eastAsia="ＭＳ 明朝"/>
                <w:b w:val="0"/>
                <w:sz w:val="18"/>
              </w:rPr>
              <w:t>特殊用途の影響試算に必要</w:t>
            </w:r>
          </w:p>
        </w:tc>
      </w:tr>
      <w:tr>
        <w:tc>
          <w:tcPr>
            <w:tcW w:type="dxa" w:w="1814"/>
          </w:tcPr>
          <w:p>
            <w:pPr>
              <w:spacing w:after="40"/>
              <w:jc w:val="left"/>
            </w:pPr>
            <w:r/>
            <w:r>
              <w:rPr>
                <w:rFonts w:ascii="ＭＳ 明朝" w:hAnsi="ＭＳ 明朝" w:eastAsia="ＭＳ 明朝"/>
                <w:b w:val="0"/>
                <w:sz w:val="18"/>
              </w:rPr>
              <w:t>業務仕様書の原本</w:t>
            </w:r>
          </w:p>
        </w:tc>
        <w:tc>
          <w:tcPr>
            <w:tcW w:type="dxa" w:w="4195"/>
          </w:tcPr>
          <w:p>
            <w:pPr>
              <w:spacing w:after="40"/>
              <w:jc w:val="center"/>
            </w:pPr>
            <w:r/>
            <w:r>
              <w:rPr>
                <w:rFonts w:ascii="ＭＳ 明朝" w:hAnsi="ＭＳ 明朝" w:eastAsia="ＭＳ 明朝"/>
                <w:b w:val="0"/>
                <w:sz w:val="18"/>
              </w:rPr>
              <w:t>資産維持率3％の要求水準、「現状赤字額」の定義、報告様式の要件</w:t>
            </w:r>
          </w:p>
        </w:tc>
        <w:tc>
          <w:tcPr>
            <w:tcW w:type="dxa" w:w="3345"/>
          </w:tcPr>
          <w:p>
            <w:pPr>
              <w:spacing w:after="40"/>
              <w:jc w:val="center"/>
            </w:pPr>
            <w:r/>
            <w:r>
              <w:rPr>
                <w:rFonts w:ascii="ＭＳ 明朝" w:hAnsi="ＭＳ 明朝" w:eastAsia="ＭＳ 明朝"/>
                <w:b w:val="0"/>
                <w:sz w:val="18"/>
              </w:rPr>
              <w:t>仕様書適合の最終確認に必要</w:t>
            </w:r>
          </w:p>
        </w:tc>
      </w:tr>
      <w:tr>
        <w:tc>
          <w:tcPr>
            <w:tcW w:type="dxa" w:w="1814"/>
          </w:tcPr>
          <w:p>
            <w:pPr>
              <w:spacing w:after="40"/>
              <w:jc w:val="left"/>
            </w:pPr>
            <w:r/>
            <w:r>
              <w:rPr>
                <w:rFonts w:ascii="ＭＳ 明朝" w:hAnsi="ＭＳ 明朝" w:eastAsia="ＭＳ 明朝"/>
                <w:b w:val="0"/>
                <w:sz w:val="18"/>
              </w:rPr>
              <w:t>令和8年度の基本料金等の免除</w:t>
            </w:r>
          </w:p>
        </w:tc>
        <w:tc>
          <w:tcPr>
            <w:tcW w:type="dxa" w:w="4195"/>
          </w:tcPr>
          <w:p>
            <w:pPr>
              <w:spacing w:after="40"/>
              <w:jc w:val="center"/>
            </w:pPr>
            <w:r/>
            <w:r>
              <w:rPr>
                <w:rFonts w:ascii="ＭＳ 明朝" w:hAnsi="ＭＳ 明朝" w:eastAsia="ＭＳ 明朝"/>
                <w:b w:val="0"/>
                <w:sz w:val="18"/>
              </w:rPr>
              <w:t>令和8年4〜6月請求分の免除の内容（対象・免除額・件数）、交付金等による補填収入の額と会計処理</w:t>
            </w:r>
          </w:p>
        </w:tc>
        <w:tc>
          <w:tcPr>
            <w:tcW w:type="dxa" w:w="3345"/>
          </w:tcPr>
          <w:p>
            <w:pPr>
              <w:spacing w:after="40"/>
              <w:jc w:val="center"/>
            </w:pPr>
            <w:r/>
            <w:r>
              <w:rPr>
                <w:rFonts w:ascii="ＭＳ 明朝" w:hAnsi="ＭＳ 明朝" w:eastAsia="ＭＳ 明朝"/>
                <w:b w:val="0"/>
                <w:sz w:val="18"/>
              </w:rPr>
              <w:t>令和8年度の収入見込みと資金残高</w:t>
            </w:r>
          </w:p>
        </w:tc>
      </w:tr>
      <w:tr>
        <w:tc>
          <w:tcPr>
            <w:tcW w:type="dxa" w:w="1814"/>
          </w:tcPr>
          <w:p>
            <w:pPr>
              <w:spacing w:after="40"/>
              <w:jc w:val="left"/>
            </w:pPr>
            <w:r/>
            <w:r>
              <w:rPr>
                <w:rFonts w:ascii="ＭＳ 明朝" w:hAnsi="ＭＳ 明朝" w:eastAsia="ＭＳ 明朝"/>
                <w:b w:val="0"/>
                <w:sz w:val="18"/>
              </w:rPr>
              <w:t>端数処理</w:t>
            </w:r>
          </w:p>
        </w:tc>
        <w:tc>
          <w:tcPr>
            <w:tcW w:type="dxa" w:w="4195"/>
          </w:tcPr>
          <w:p>
            <w:pPr>
              <w:spacing w:after="40"/>
              <w:jc w:val="center"/>
            </w:pPr>
            <w:r/>
            <w:r>
              <w:rPr>
                <w:rFonts w:ascii="ＭＳ 明朝" w:hAnsi="ＭＳ 明朝" w:eastAsia="ＭＳ 明朝"/>
                <w:b w:val="0"/>
                <w:sz w:val="18"/>
              </w:rPr>
              <w:t>現行の端数処理（1円未満の切捨て）の適用範囲。基本料金・従量料金・メーター使用料それぞれの扱い</w:t>
            </w:r>
          </w:p>
        </w:tc>
        <w:tc>
          <w:tcPr>
            <w:tcW w:type="dxa" w:w="3345"/>
          </w:tcPr>
          <w:p>
            <w:pPr>
              <w:spacing w:after="40"/>
              <w:jc w:val="center"/>
            </w:pPr>
            <w:r/>
            <w:r>
              <w:rPr>
                <w:rFonts w:ascii="ＭＳ 明朝" w:hAnsi="ＭＳ 明朝" w:eastAsia="ＭＳ 明朝"/>
                <w:b w:val="0"/>
                <w:sz w:val="18"/>
              </w:rPr>
              <w:t>条例案と試算の一致</w:t>
            </w:r>
          </w:p>
        </w:tc>
      </w:tr>
      <w:tr>
        <w:tc>
          <w:tcPr>
            <w:tcW w:type="dxa" w:w="1814"/>
          </w:tcPr>
          <w:p>
            <w:pPr>
              <w:spacing w:after="40"/>
              <w:jc w:val="left"/>
            </w:pPr>
            <w:r/>
            <w:r>
              <w:rPr>
                <w:rFonts w:ascii="ＭＳ 明朝" w:hAnsi="ＭＳ 明朝" w:eastAsia="ＭＳ 明朝"/>
                <w:b w:val="0"/>
                <w:sz w:val="18"/>
              </w:rPr>
              <w:t>改定の適用開始時期</w:t>
            </w:r>
          </w:p>
        </w:tc>
        <w:tc>
          <w:tcPr>
            <w:tcW w:type="dxa" w:w="4195"/>
          </w:tcPr>
          <w:p>
            <w:pPr>
              <w:spacing w:after="40"/>
              <w:jc w:val="center"/>
            </w:pPr>
            <w:r/>
            <w:r>
              <w:rPr>
                <w:rFonts w:ascii="ＭＳ 明朝" w:hAnsi="ＭＳ 明朝" w:eastAsia="ＭＳ 明朝"/>
                <w:b w:val="0"/>
                <w:sz w:val="18"/>
              </w:rPr>
              <w:t>条例改正の議決時期と新料金の適用開始時期</w:t>
            </w:r>
          </w:p>
        </w:tc>
        <w:tc>
          <w:tcPr>
            <w:tcW w:type="dxa" w:w="3345"/>
          </w:tcPr>
          <w:p>
            <w:pPr>
              <w:spacing w:after="40"/>
              <w:jc w:val="center"/>
            </w:pPr>
            <w:r/>
            <w:r>
              <w:rPr>
                <w:rFonts w:ascii="ＭＳ 明朝" w:hAnsi="ＭＳ 明朝" w:eastAsia="ＭＳ 明朝"/>
                <w:b w:val="0"/>
                <w:sz w:val="18"/>
              </w:rPr>
              <w:t>初年度の収入と資金残高</w:t>
            </w:r>
          </w:p>
        </w:tc>
      </w:tr>
    </w:tbl>
    <w:p>
      <w:pPr>
        <w:spacing w:after="80" w:line="276" w:lineRule="auto"/>
      </w:pPr>
    </w:p>
    <w:p>
      <w:pPr>
        <w:spacing w:before="240" w:after="100"/>
      </w:pPr>
      <w:r>
        <w:rPr>
          <w:rFonts w:ascii="ＭＳ ゴシック" w:hAnsi="ＭＳ ゴシック" w:eastAsia="ＭＳ ゴシック"/>
          <w:b/>
          <w:color w:val="2E75B6"/>
          <w:sz w:val="23"/>
        </w:rPr>
        <w:t>12-2　当方で実施する作業</w:t>
      </w:r>
    </w:p>
    <w:p>
      <w:pPr>
        <w:pStyle w:val="ListBullet"/>
        <w:spacing w:after="60" w:line="269" w:lineRule="auto"/>
      </w:pPr>
      <w:r>
        <w:rPr>
          <w:rFonts w:ascii="ＭＳ 明朝" w:hAnsi="ＭＳ 明朝" w:eastAsia="ＭＳ 明朝"/>
          <w:sz w:val="21"/>
        </w:rPr>
        <w:t>採用計算表の整備（本報告の全指標を1つの計算表から再現できるようにする）</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令和8年度の基本料金等の免除を織り込んだ令和8・9年度の収入の橋渡し</w:t>
      </w:r>
    </w:p>
    <w:p>
      <w:pPr>
        <w:pStyle w:val="ListBullet"/>
        <w:spacing w:after="60" w:line="269" w:lineRule="auto"/>
      </w:pPr>
      <w:r>
        <w:rPr>
          <w:rFonts w:ascii="ＭＳ 明朝" w:hAnsi="ＭＳ 明朝" w:eastAsia="ＭＳ 明朝"/>
          <w:sz w:val="21"/>
        </w:rPr>
        <w:t>減価償却費の再構築（取得価額の税処理、新規分に対応する長期前受金戻入益の計上、供用開始年度の設定）</w:t>
      </w:r>
    </w:p>
    <w:p>
      <w:pPr>
        <w:pStyle w:val="ListBullet"/>
        <w:spacing w:after="60" w:line="269" w:lineRule="auto"/>
      </w:pPr>
      <w:r>
        <w:rPr>
          <w:rFonts w:ascii="ＭＳ 明朝" w:hAnsi="ＭＳ 明朝" w:eastAsia="ＭＳ 明朝"/>
          <w:sz w:val="21"/>
        </w:rPr>
        <w:t>資産維持費の対象資産を固定資産台帳に結び付けた再算定（対象期間の期末日の統一を含む）</w:t>
      </w:r>
    </w:p>
    <w:p>
      <w:pPr>
        <w:pStyle w:val="ListBullet"/>
        <w:spacing w:after="60" w:line="269" w:lineRule="auto"/>
      </w:pPr>
      <w:r>
        <w:rPr>
          <w:rFonts w:ascii="ＭＳ 明朝" w:hAnsi="ＭＳ 明朝" w:eastAsia="ＭＳ 明朝"/>
          <w:sz w:val="21"/>
        </w:rPr>
        <w:t>使用者別の調定明細による利用者影響の再計算（現行体系と各案を同一の使用者に適用）</w:t>
      </w:r>
    </w:p>
    <w:p>
      <w:pPr>
        <w:pStyle w:val="ListBullet"/>
        <w:spacing w:after="60" w:line="269" w:lineRule="auto"/>
      </w:pPr>
      <w:r>
        <w:rPr>
          <w:rFonts w:ascii="ＭＳ 明朝" w:hAnsi="ＭＳ 明朝" w:eastAsia="ＭＳ 明朝"/>
          <w:sz w:val="21"/>
        </w:rPr>
        <w:t>値上げ・値下げの対象件数と増額帯別件数の集計</w:t>
      </w:r>
    </w:p>
    <w:p>
      <w:pPr>
        <w:pStyle w:val="ListBullet"/>
        <w:spacing w:after="60" w:line="269" w:lineRule="auto"/>
      </w:pPr>
      <w:r>
        <w:rPr>
          <w:rFonts w:ascii="ＭＳ 明朝" w:hAnsi="ＭＳ 明朝" w:eastAsia="ＭＳ 明朝"/>
          <w:sz w:val="21"/>
        </w:rPr>
        <w:t>産業用特例の方式の比較（超過部分への適用、料金上限、減免率、年間認定）と採用方式による再試算</w:t>
      </w:r>
    </w:p>
    <w:p>
      <w:pPr>
        <w:pStyle w:val="ListBullet"/>
        <w:spacing w:after="60" w:line="269" w:lineRule="auto"/>
      </w:pPr>
      <w:r>
        <w:rPr>
          <w:rFonts w:ascii="ＭＳ 明朝" w:hAnsi="ＭＳ 明朝" w:eastAsia="ＭＳ 明朝"/>
          <w:sz w:val="21"/>
        </w:rPr>
        <w:t>令和7年度実績から接続する水需要予測への組替え（家庭需要・大口需要・特殊用途の区分）</w:t>
      </w:r>
    </w:p>
    <w:p>
      <w:pPr>
        <w:pStyle w:val="ListBullet"/>
        <w:spacing w:after="60" w:line="269" w:lineRule="auto"/>
      </w:pPr>
      <w:r>
        <w:rPr>
          <w:rFonts w:ascii="ＭＳ 明朝" w:hAnsi="ＭＳ 明朝" w:eastAsia="ＭＳ 明朝"/>
          <w:sz w:val="21"/>
        </w:rPr>
        <w:t>改定実施時期を反映した年次の資金収支の作成と感応度分析</w:t>
      </w:r>
    </w:p>
    <w:p>
      <w:pPr>
        <w:pStyle w:val="ListBullet"/>
        <w:spacing w:after="60" w:line="269" w:lineRule="auto"/>
      </w:pPr>
      <w:r>
        <w:rPr>
          <w:rFonts w:ascii="ＭＳ 明朝" w:hAnsi="ＭＳ 明朝" w:eastAsia="ＭＳ 明朝"/>
          <w:sz w:val="21"/>
        </w:rPr>
        <w:t>経営戦略の財政シミュレーションにおける動力費・薬品費の単価の修正（別表で47,167千円の補正）</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12-3　根拠資料の整備</w:t>
      </w:r>
    </w:p>
    <w:p>
      <w:pPr>
        <w:spacing w:after="120" w:line="276" w:lineRule="auto"/>
      </w:pPr>
      <w:r>
        <w:rPr>
          <w:rFonts w:ascii="ＭＳ 明朝" w:hAnsi="ＭＳ 明朝" w:eastAsia="ＭＳ 明朝"/>
          <w:b w:val="0"/>
          <w:sz w:val="21"/>
        </w:rPr>
        <w:t>本報告の作成にあたり、参照した資料の版と計算の再現性について次の課題を確認している。最終報告に向けて、同一の入力から総括原価・3案・影響表・住民説明までを生成する採用資料を一本化し、旧版は履歴として明確に区別する。</w:t>
      </w:r>
    </w:p>
    <w:p>
      <w:pPr>
        <w:pStyle w:val="ListBullet"/>
        <w:spacing w:after="60" w:line="269" w:lineRule="auto"/>
      </w:pPr>
      <w:r>
        <w:rPr>
          <w:rFonts w:ascii="ＭＳ 明朝" w:hAnsi="ＭＳ 明朝" w:eastAsia="ＭＳ 明朝"/>
          <w:sz w:val="21"/>
        </w:rPr>
        <w:t>旧版の試算資料には、本報告より前の前提が残っている。料金改定シミュレーション本体の総括原価は2,552,199千円、長期前受金戻入益と補助金の控除額も旧値のままである。総括原価シミュレーションには5年合計を累計の合計とする誤式が残り、資産維持率も1％のままである。前提条件切替計算表の主要ケースも旧値である。これらは本報告の再現用資料として配布しない</w:t>
      </w:r>
    </w:p>
    <w:p>
      <w:pPr>
        <w:pStyle w:val="ListBullet"/>
        <w:spacing w:after="60" w:line="269" w:lineRule="auto"/>
      </w:pPr>
      <w:r>
        <w:rPr>
          <w:rFonts w:ascii="ＭＳ 明朝" w:hAnsi="ＭＳ 明朝" w:eastAsia="ＭＳ 明朝"/>
          <w:sz w:val="21"/>
        </w:rPr>
        <w:t>本報告の全指標を1つの計算表から再現できるようにし、総括原価から3案・利用者影響・説明資料までの照合表を付ける。旧版は参照用として別に置き、配布物には含めない</w:t>
      </w:r>
    </w:p>
    <w:p>
      <w:pPr>
        <w:pStyle w:val="ListBullet"/>
        <w:spacing w:after="60" w:line="269" w:lineRule="auto"/>
      </w:pPr>
      <w:r>
        <w:rPr>
          <w:rFonts w:ascii="ＭＳ 明朝" w:hAnsi="ＭＳ 明朝" w:eastAsia="ＭＳ 明朝"/>
          <w:sz w:val="21"/>
        </w:rPr>
        <w:t>切替表の一部の倍率・回収割合は小数第1位までの固定値で保存されている。費目からの再計算値と区別する</w:t>
      </w:r>
    </w:p>
    <w:p>
      <w:pPr>
        <w:pStyle w:val="ListBullet"/>
        <w:spacing w:after="60" w:line="269" w:lineRule="auto"/>
      </w:pPr>
      <w:r>
        <w:rPr>
          <w:rFonts w:ascii="ＭＳ 明朝" w:hAnsi="ＭＳ 明朝" w:eastAsia="ＭＳ 明朝"/>
          <w:sz w:val="21"/>
        </w:rPr>
        <w:t>経営戦略の財政シミュレーションには参照エラーが残る箇所がある。再利用にあたり参照経路を分けて修復する</w:t>
      </w:r>
    </w:p>
    <w:p>
      <w:pPr>
        <w:pStyle w:val="ListBullet"/>
        <w:spacing w:after="60" w:line="269" w:lineRule="auto"/>
      </w:pPr>
      <w:r>
        <w:rPr>
          <w:rFonts w:ascii="ＭＳ 明朝" w:hAnsi="ＭＳ 明朝" w:eastAsia="ＭＳ 明朝"/>
          <w:sz w:val="21"/>
        </w:rPr>
        <w:t>建設改良費調査票の財源構成欄には、割合欄に金額が入力されている箇所があり、同欄を割合として集計すると繰入金計が過大となる。総整備費35.15億円そのものは妥当であるが、財源構成の数式は資金計画へ転記しない</w:t>
      </w:r>
    </w:p>
    <w:p>
      <w:pPr>
        <w:pStyle w:val="ListBullet"/>
        <w:spacing w:after="60" w:line="269" w:lineRule="auto"/>
      </w:pPr>
      <w:r>
        <w:rPr>
          <w:rFonts w:ascii="ＭＳ 明朝" w:hAnsi="ＭＳ 明朝" w:eastAsia="ＭＳ 明朝"/>
          <w:sz w:val="21"/>
        </w:rPr>
        <w:t>数式セルの計算結果が保存されていない資料があるため、配布版は計算結果を再現できる状態にする</w:t>
      </w:r>
    </w:p>
    <w:p>
      <w:pPr>
        <w:pStyle w:val="ListBullet"/>
        <w:spacing w:after="60" w:line="269" w:lineRule="auto"/>
      </w:pPr>
      <w:r>
        <w:rPr>
          <w:rFonts w:ascii="ＭＳ 明朝" w:hAnsi="ＭＳ 明朝" w:eastAsia="ＭＳ 明朝"/>
          <w:sz w:val="21"/>
        </w:rPr>
        <w:t>各数値に、採用版・対象年度・税区分・原票またはセル・確認者・確認日を付す</w:t>
      </w:r>
    </w:p>
    <w:p>
      <w:pPr>
        <w:spacing w:before="240" w:after="100"/>
      </w:pPr>
      <w:r>
        <w:rPr>
          <w:rFonts w:ascii="ＭＳ ゴシック" w:hAnsi="ＭＳ ゴシック" w:eastAsia="ＭＳ ゴシック"/>
          <w:b/>
          <w:color w:val="2E75B6"/>
          <w:sz w:val="23"/>
        </w:rPr>
        <w:t>12-4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現行料金体系、令和7年度実績（調定水量1,024,576㎥・調定額131,428,825円（税込））、建設改良費4事業の総整備費3,515,000千円（税込）</w:t>
            </w:r>
          </w:p>
        </w:tc>
      </w:tr>
      <w:tr>
        <w:tc>
          <w:tcPr>
            <w:tcW w:type="dxa" w:w="1701"/>
          </w:tcPr>
          <w:p>
            <w:pPr>
              <w:spacing w:after="40"/>
              <w:jc w:val="left"/>
            </w:pPr>
            <w:r/>
            <w:r>
              <w:rPr>
                <w:rFonts w:ascii="ＭＳ 明朝" w:hAnsi="ＭＳ 明朝" w:eastAsia="ＭＳ 明朝"/>
                <w:b w:val="0"/>
                <w:sz w:val="19"/>
              </w:rPr>
              <w:t>採用値</w:t>
            </w:r>
          </w:p>
        </w:tc>
        <w:tc>
          <w:tcPr>
            <w:tcW w:type="dxa" w:w="7654"/>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資産維持費の対象資産、水量ゾーン別の件数、水産加工業の使用水量、口径別料金表案の水準、各案の年間料金収入</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1.99倍は、資産維持費3％を算入した総括原価から基準内繰入金を控除したうえで、残余を料金で全額回収する場合の試算値である。繰入金の控除条件のみを変えた比較では1.99〜2.45倍となるが、償却年数・借入利率・対象資産・水量などの条件を併せて変えれば2.5倍を超える場合もあり、この幅は必要改定率の上限・下限を示すものではない。実際の改定率は、12-1の確認事項の確定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