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26件（第7節）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ご決定をお願いする事項は3町共通で26件ありますが、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時間があればご決定をお願いしたいものをB群（4件・計20分）とし、残る6件（C群）は当方の仮置きのまま第2次概算に進めます。A群・B群の内容は第7節1・2に掲げています。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3町共通で26件ありますが、会の所要に限りがあるため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B群4件（計20分）は時間があればご決定をお願いしたいもの、C群6件は当方の仮置きのまま第2次概算に進めるものです。A群・B群に挙げたものを含め、26件のすべてを4から6に掲げています。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計画の記載に関わるもの（22件）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受託者が仮置きにより進めた事項（164件）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No.1</w:t>
            </w:r>
          </w:p>
        </w:tc>
        <w:tc>
          <w:tcPr>
            <w:tcW w:type="dxa" w:w="2608"/>
            <w:vAlign w:val="center"/>
          </w:tcPr>
          <w:p>
            <w:pPr>
              <w:spacing w:after="0"/>
            </w:pPr>
            <w:r>
              <w:rPr>
                <w:rFonts w:ascii="游ゴシック" w:hAnsi="游ゴシック" w:eastAsia="游ゴシック"/>
                <w:b w:val="0"/>
                <w:sz w:val="16"/>
              </w:rPr>
              <w:t>特別地域加算の対象地域告示</w:t>
            </w:r>
          </w:p>
        </w:tc>
        <w:tc>
          <w:tcPr>
            <w:tcW w:type="dxa" w:w="4649"/>
            <w:vAlign w:val="center"/>
          </w:tcPr>
          <w:p>
            <w:pPr>
              <w:spacing w:after="0"/>
            </w:pPr>
            <w:r>
              <w:rPr>
                <w:rFonts w:ascii="游ゴシック" w:hAnsi="游ゴシック" w:eastAsia="游ゴシック"/>
                <w:b w:val="0"/>
                <w:sz w:val="16"/>
              </w:rPr>
              <w:t>特別地域加算の対象地域の告示を確認できていないため、特定地域の基準①に該当するかどうかの判定は行わず［要確認］のまま残した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