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令和8年8月時点の版まで作成済（暫定）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令和8年8月時点の版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要介護3以上の認定率は6.3％で、第9期の目標6.4％を達成しています。一方、実数は564人（令和6年3月末）から580人（令和8年3月末）へ増加しています。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達成</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事業所実態調査は実施済みで回答を受領していますが、受領した事業所票の項目は介護職員数、常勤・非常勤、外国人、派遣、採用・離職であり、H12（必要サービス未充足率）とH16（災害・感染症時のサービス継続率）に対応する設問がありません。在宅介護実態調査（H07・H08）は実施されていません。この4項目は代理指標への振替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受入困難・BCP等の設問がないため代理指標を要する（第10節No.3）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1474"/>
            <w:vAlign w:val="center"/>
            <w:shd w:val="clear" w:color="auto" w:fill="F2F2F2"/>
          </w:tcPr>
          <w:p>
            <w:pPr>
              <w:spacing w:before="20" w:after="20"/>
              <w:jc w:val="center"/>
            </w:pPr>
            <w:r/>
            <w:r>
              <w:rPr>
                <w:rFonts w:ascii="游ゴシック" w:hAnsi="游ゴシック" w:eastAsia="游ゴシック"/>
                <w:b/>
                <w:sz w:val="18"/>
              </w:rPr>
              <w:t>低位</w:t>
            </w:r>
          </w:p>
        </w:tc>
        <w:tc>
          <w:tcPr>
            <w:tcW w:type="dxa" w:w="1474"/>
            <w:vAlign w:val="center"/>
            <w:shd w:val="clear" w:color="auto" w:fill="F2F2F2"/>
          </w:tcPr>
          <w:p>
            <w:pPr>
              <w:spacing w:before="20" w:after="20"/>
              <w:jc w:val="center"/>
            </w:pPr>
            <w:r/>
            <w:r>
              <w:rPr>
                <w:rFonts w:ascii="游ゴシック" w:hAnsi="游ゴシック" w:eastAsia="游ゴシック"/>
                <w:b/>
                <w:sz w:val="18"/>
              </w:rPr>
              <w:t>標準</w:t>
            </w:r>
          </w:p>
        </w:tc>
        <w:tc>
          <w:tcPr>
            <w:tcW w:type="dxa" w:w="1474"/>
            <w:vAlign w:val="center"/>
            <w:shd w:val="clear" w:color="auto" w:fill="F2F2F2"/>
          </w:tcPr>
          <w:p>
            <w:pPr>
              <w:spacing w:before="20" w:after="20"/>
              <w:jc w:val="center"/>
            </w:pPr>
            <w:r/>
            <w:r>
              <w:rPr>
                <w:rFonts w:ascii="游ゴシック" w:hAnsi="游ゴシック" w:eastAsia="游ゴシック"/>
                <w:b/>
                <w:sz w:val="18"/>
              </w:rPr>
              <w:t>高位</w:t>
            </w:r>
          </w:p>
        </w:tc>
        <w:tc>
          <w:tcPr>
            <w:tcW w:type="dxa" w:w="2494"/>
            <w:vAlign w:val="center"/>
            <w:shd w:val="clear" w:color="auto" w:fill="F2F2F2"/>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代表KPI H07・H08・H12・H16の代理指標</w:t>
            </w:r>
          </w:p>
        </w:tc>
        <w:tc>
          <w:tcPr>
            <w:tcW w:type="dxa" w:w="3288"/>
            <w:vAlign w:val="center"/>
          </w:tcPr>
          <w:p>
            <w:pPr>
              <w:spacing w:before="20" w:after="20"/>
            </w:pPr>
            <w:r/>
            <w:r>
              <w:rPr>
                <w:rFonts w:ascii="游ゴシック" w:hAnsi="游ゴシック" w:eastAsia="游ゴシック"/>
                <w:sz w:val="18"/>
              </w:rPr>
              <w:t>事業所実態調査は回答を受領済みですが、受入困難・縮小意向・BCP等の設問がないためH12・H16を算定できません。在宅介護実態調査（H07・H08）は実施されていません。代理指標へ振り替えるか、指標を落とすかの判断を要しま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