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令和8年8月5日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本シートは、キックオフ会議でご確認・ご決定いただきたい事項を16項目に整理したものです。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【進め方の案（60分の場合）】</w:t>
      </w:r>
    </w:p>
    <w:p>
      <w:pPr>
        <w:spacing w:after="60" w:before="0"/>
      </w:pPr>
      <w:r>
        <w:rPr>
          <w:rFonts w:ascii="游ゴシック" w:hAnsi="游ゴシック" w:eastAsia="游ゴシック"/>
          <w:b w:val="0"/>
          <w:sz w:val="19"/>
        </w:rPr>
        <w:t>会議の時間が60分の場合は、次の6項目に絞ってご確認いただき、残る8項目は本シートに書面でご記入いただく形をご提案いたします。別冊「キックオフ会議 トークスクリプト（60分）」がこの進め方に対応しています。</w:t>
      </w:r>
    </w:p>
    <w:tbl>
      <w:tblPr>
        <w:tblStyle w:val="TableGrid"/>
        <w:tblW w:type="auto" w:w="0"/>
        <w:tblLook w:firstColumn="1" w:firstRow="1" w:lastColumn="0" w:lastRow="0" w:noHBand="0" w:noVBand="1" w:val="04A0"/>
      </w:tblPr>
      <w:tblGrid>
        <w:gridCol w:w="2466"/>
        <w:gridCol w:w="2466"/>
        <w:gridCol w:w="2466"/>
        <w:gridCol w:w="2466"/>
      </w:tblGrid>
      <w:tr>
        <w:tc>
          <w:tcPr>
            <w:tcW w:type="dxa" w:w="1361"/>
            <w:shd w:val="clear" w:fill="4472C4"/>
          </w:tcPr>
          <w:p>
            <w:pPr>
              <w:spacing w:after="20" w:before="20"/>
            </w:pPr>
            <w:r/>
            <w:r>
              <w:rPr>
                <w:rFonts w:ascii="游ゴシック" w:hAnsi="游ゴシック" w:eastAsia="游ゴシック"/>
                <w:b/>
                <w:color w:val="FFFFFF"/>
                <w:sz w:val="18"/>
              </w:rPr>
              <w:t>時刻</w:t>
            </w:r>
          </w:p>
        </w:tc>
        <w:tc>
          <w:tcPr>
            <w:tcW w:type="dxa" w:w="3742"/>
            <w:shd w:val="clear" w:fill="4472C4"/>
          </w:tcPr>
          <w:p>
            <w:pPr>
              <w:spacing w:after="20" w:before="20"/>
            </w:pPr>
            <w:r/>
            <w:r>
              <w:rPr>
                <w:rFonts w:ascii="游ゴシック" w:hAnsi="游ゴシック" w:eastAsia="游ゴシック"/>
                <w:b/>
                <w:color w:val="FFFFFF"/>
                <w:sz w:val="18"/>
              </w:rPr>
              <w:t>内容</w:t>
            </w:r>
          </w:p>
        </w:tc>
        <w:tc>
          <w:tcPr>
            <w:tcW w:type="dxa" w:w="3402"/>
            <w:shd w:val="clear" w:fill="4472C4"/>
          </w:tcPr>
          <w:p>
            <w:pPr>
              <w:spacing w:after="20" w:before="20"/>
            </w:pPr>
            <w:r/>
            <w:r>
              <w:rPr>
                <w:rFonts w:ascii="游ゴシック" w:hAnsi="游ゴシック" w:eastAsia="游ゴシック"/>
                <w:b/>
                <w:color w:val="FFFFFF"/>
                <w:sz w:val="18"/>
              </w:rPr>
              <w:t>対象</w:t>
            </w:r>
          </w:p>
        </w:tc>
        <w:tc>
          <w:tcPr>
            <w:tcW w:type="dxa" w:w="1247"/>
            <w:shd w:val="clear" w:fill="4472C4"/>
          </w:tcPr>
          <w:p>
            <w:pPr>
              <w:spacing w:after="20" w:before="20"/>
            </w:pPr>
            <w:r/>
            <w:r>
              <w:rPr>
                <w:rFonts w:ascii="游ゴシック" w:hAnsi="游ゴシック" w:eastAsia="游ゴシック"/>
                <w:b/>
                <w:color w:val="FFFFFF"/>
                <w:sz w:val="18"/>
              </w:rPr>
              <w:t>扱い</w:t>
            </w:r>
          </w:p>
        </w:tc>
      </w:tr>
      <w:tr>
        <w:tc>
          <w:tcPr>
            <w:tcW w:type="dxa" w:w="1361"/>
          </w:tcPr>
          <w:p>
            <w:pPr>
              <w:spacing w:after="20" w:before="20"/>
            </w:pPr>
            <w:r/>
            <w:r>
              <w:rPr>
                <w:rFonts w:ascii="游ゴシック" w:hAnsi="游ゴシック" w:eastAsia="游ゴシック"/>
                <w:b w:val="0"/>
                <w:sz w:val="18"/>
              </w:rPr>
              <w:t>0:00–0:05</w:t>
            </w:r>
          </w:p>
        </w:tc>
        <w:tc>
          <w:tcPr>
            <w:tcW w:type="dxa" w:w="3742"/>
          </w:tcPr>
          <w:p>
            <w:pPr>
              <w:spacing w:after="20" w:before="20"/>
            </w:pPr>
            <w:r/>
            <w:r>
              <w:rPr>
                <w:rFonts w:ascii="游ゴシック" w:hAnsi="游ゴシック" w:eastAsia="游ゴシック"/>
                <w:b w:val="0"/>
                <w:sz w:val="18"/>
              </w:rPr>
              <w:t>開会と本日のねらい</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0:05–0:12</w:t>
            </w:r>
          </w:p>
        </w:tc>
        <w:tc>
          <w:tcPr>
            <w:tcW w:type="dxa" w:w="3742"/>
          </w:tcPr>
          <w:p>
            <w:pPr>
              <w:spacing w:after="20" w:before="20"/>
            </w:pPr>
            <w:r/>
            <w:r>
              <w:rPr>
                <w:rFonts w:ascii="游ゴシック" w:hAnsi="游ゴシック" w:eastAsia="游ゴシック"/>
                <w:b w:val="0"/>
                <w:sz w:val="18"/>
              </w:rPr>
              <w:t>進捗のご報告と開示の順序</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0:12–0:22</w:t>
            </w:r>
          </w:p>
        </w:tc>
        <w:tc>
          <w:tcPr>
            <w:tcW w:type="dxa" w:w="3742"/>
          </w:tcPr>
          <w:p>
            <w:pPr>
              <w:spacing w:after="20" w:before="20"/>
            </w:pPr>
            <w:r/>
            <w:r>
              <w:rPr>
                <w:rFonts w:ascii="游ゴシック" w:hAnsi="游ゴシック" w:eastAsia="游ゴシック"/>
                <w:b w:val="0"/>
                <w:sz w:val="18"/>
              </w:rPr>
              <w:t>事業所実態調査で把握できない項目とKPI4項目の扱い</w:t>
            </w:r>
          </w:p>
        </w:tc>
        <w:tc>
          <w:tcPr>
            <w:tcW w:type="dxa" w:w="3402"/>
          </w:tcPr>
          <w:p>
            <w:pPr>
              <w:spacing w:after="20" w:before="20"/>
            </w:pPr>
            <w:r/>
            <w:r>
              <w:rPr>
                <w:rFonts w:ascii="游ゴシック" w:hAnsi="游ゴシック" w:eastAsia="游ゴシック"/>
                <w:b w:val="0"/>
                <w:sz w:val="18"/>
              </w:rPr>
              <w:t>項目1</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0:22–0:30</w:t>
            </w:r>
          </w:p>
        </w:tc>
        <w:tc>
          <w:tcPr>
            <w:tcW w:type="dxa" w:w="3742"/>
          </w:tcPr>
          <w:p>
            <w:pPr>
              <w:spacing w:after="20" w:before="20"/>
            </w:pPr>
            <w:r/>
            <w:r>
              <w:rPr>
                <w:rFonts w:ascii="游ゴシック" w:hAnsi="游ゴシック" w:eastAsia="游ゴシック"/>
                <w:b w:val="0"/>
                <w:sz w:val="18"/>
              </w:rPr>
              <w:t>委員会日程とパブリックコメント期間</w:t>
            </w:r>
          </w:p>
        </w:tc>
        <w:tc>
          <w:tcPr>
            <w:tcW w:type="dxa" w:w="3402"/>
          </w:tcPr>
          <w:p>
            <w:pPr>
              <w:spacing w:after="20" w:before="20"/>
            </w:pPr>
            <w:r/>
            <w:r>
              <w:rPr>
                <w:rFonts w:ascii="游ゴシック" w:hAnsi="游ゴシック" w:eastAsia="游ゴシック"/>
                <w:b w:val="0"/>
                <w:sz w:val="18"/>
              </w:rPr>
              <w:t>項目2</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0:30–0:40</w:t>
            </w:r>
          </w:p>
        </w:tc>
        <w:tc>
          <w:tcPr>
            <w:tcW w:type="dxa" w:w="3742"/>
          </w:tcPr>
          <w:p>
            <w:pPr>
              <w:spacing w:after="20" w:before="20"/>
            </w:pPr>
            <w:r/>
            <w:r>
              <w:rPr>
                <w:rFonts w:ascii="游ゴシック" w:hAnsi="游ゴシック" w:eastAsia="游ゴシック"/>
                <w:b w:val="0"/>
                <w:sz w:val="18"/>
              </w:rPr>
              <w:t>推計の前提と採用シナリオ</w:t>
            </w:r>
          </w:p>
        </w:tc>
        <w:tc>
          <w:tcPr>
            <w:tcW w:type="dxa" w:w="3402"/>
          </w:tcPr>
          <w:p>
            <w:pPr>
              <w:spacing w:after="20" w:before="20"/>
            </w:pPr>
            <w:r/>
            <w:r>
              <w:rPr>
                <w:rFonts w:ascii="游ゴシック" w:hAnsi="游ゴシック" w:eastAsia="游ゴシック"/>
                <w:b w:val="0"/>
                <w:sz w:val="18"/>
              </w:rPr>
              <w:t>項目6</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0:40–0:50</w:t>
            </w:r>
          </w:p>
        </w:tc>
        <w:tc>
          <w:tcPr>
            <w:tcW w:type="dxa" w:w="3742"/>
          </w:tcPr>
          <w:p>
            <w:pPr>
              <w:spacing w:after="20" w:before="20"/>
            </w:pPr>
            <w:r/>
            <w:r>
              <w:rPr>
                <w:rFonts w:ascii="游ゴシック" w:hAnsi="游ゴシック" w:eastAsia="游ゴシック"/>
                <w:b w:val="0"/>
                <w:sz w:val="18"/>
              </w:rPr>
              <w:t>第9期実績の提供時期と点検事項の取扱い</w:t>
            </w:r>
          </w:p>
        </w:tc>
        <w:tc>
          <w:tcPr>
            <w:tcW w:type="dxa" w:w="3402"/>
          </w:tcPr>
          <w:p>
            <w:pPr>
              <w:spacing w:after="20" w:before="20"/>
            </w:pPr>
            <w:r/>
            <w:r>
              <w:rPr>
                <w:rFonts w:ascii="游ゴシック" w:hAnsi="游ゴシック" w:eastAsia="游ゴシック"/>
                <w:b w:val="0"/>
                <w:sz w:val="18"/>
              </w:rPr>
              <w:t>項目3・13</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0:50–0:57</w:t>
            </w:r>
          </w:p>
        </w:tc>
        <w:tc>
          <w:tcPr>
            <w:tcW w:type="dxa" w:w="3742"/>
          </w:tcPr>
          <w:p>
            <w:pPr>
              <w:spacing w:after="20" w:before="20"/>
            </w:pPr>
            <w:r/>
            <w:r>
              <w:rPr>
                <w:rFonts w:ascii="游ゴシック" w:hAnsi="游ゴシック" w:eastAsia="游ゴシック"/>
                <w:b w:val="0"/>
                <w:sz w:val="18"/>
              </w:rPr>
              <w:t>個人情報・公開範囲・原稿レビュー</w:t>
            </w:r>
          </w:p>
        </w:tc>
        <w:tc>
          <w:tcPr>
            <w:tcW w:type="dxa" w:w="3402"/>
          </w:tcPr>
          <w:p>
            <w:pPr>
              <w:spacing w:after="20" w:before="20"/>
            </w:pPr>
            <w:r/>
            <w:r>
              <w:rPr>
                <w:rFonts w:ascii="游ゴシック" w:hAnsi="游ゴシック" w:eastAsia="游ゴシック"/>
                <w:b w:val="0"/>
                <w:sz w:val="18"/>
              </w:rPr>
              <w:t>項目9・10・11</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0:57–1:00</w:t>
            </w:r>
          </w:p>
        </w:tc>
        <w:tc>
          <w:tcPr>
            <w:tcW w:type="dxa" w:w="3742"/>
          </w:tcPr>
          <w:p>
            <w:pPr>
              <w:spacing w:after="20" w:before="20"/>
            </w:pPr>
            <w:r/>
            <w:r>
              <w:rPr>
                <w:rFonts w:ascii="游ゴシック" w:hAnsi="游ゴシック" w:eastAsia="游ゴシック"/>
                <w:b w:val="0"/>
                <w:sz w:val="18"/>
              </w:rPr>
              <w:t>まとめと次回まで</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w:t>
            </w:r>
          </w:p>
        </w:tc>
        <w:tc>
          <w:tcPr>
            <w:tcW w:type="dxa" w:w="3742"/>
          </w:tcPr>
          <w:p>
            <w:pPr>
              <w:spacing w:after="20" w:before="20"/>
            </w:pPr>
            <w:r/>
            <w:r>
              <w:rPr>
                <w:rFonts w:ascii="游ゴシック" w:hAnsi="游ゴシック" w:eastAsia="游ゴシック"/>
                <w:b w:val="0"/>
                <w:sz w:val="18"/>
              </w:rPr>
              <w:t>上記以外</w:t>
            </w:r>
          </w:p>
        </w:tc>
        <w:tc>
          <w:tcPr>
            <w:tcW w:type="dxa" w:w="3402"/>
          </w:tcPr>
          <w:p>
            <w:pPr>
              <w:spacing w:after="20" w:before="20"/>
            </w:pPr>
            <w:r/>
            <w:r>
              <w:rPr>
                <w:rFonts w:ascii="游ゴシック" w:hAnsi="游ゴシック" w:eastAsia="游ゴシック"/>
                <w:b w:val="0"/>
                <w:sz w:val="18"/>
              </w:rPr>
              <w:t>項目4・5・7・8・12・14・15・16</w:t>
            </w:r>
          </w:p>
        </w:tc>
        <w:tc>
          <w:tcPr>
            <w:tcW w:type="dxa" w:w="1247"/>
          </w:tcPr>
          <w:p>
            <w:pPr>
              <w:spacing w:after="20" w:before="20"/>
            </w:pPr>
            <w:r/>
            <w:r>
              <w:rPr>
                <w:rFonts w:ascii="游ゴシック" w:hAnsi="游ゴシック" w:eastAsia="游ゴシック"/>
                <w:b w:val="0"/>
                <w:sz w:val="18"/>
              </w:rPr>
              <w:t>書面</w:t>
            </w:r>
          </w:p>
        </w:tc>
      </w:tr>
    </w:tbl>
    <w:p>
      <w:pPr>
        <w:spacing w:after="80"/>
      </w:pPr>
    </w:p>
    <w:p>
      <w:pPr>
        <w:spacing w:after="160" w:before="0"/>
      </w:pPr>
      <w:r>
        <w:rPr>
          <w:rFonts w:ascii="游ゴシック" w:hAnsi="游ゴシック" w:eastAsia="游ゴシック"/>
          <w:b w:val="0"/>
          <w:sz w:val="18"/>
        </w:rPr>
        <w:t>※ 書面でご確認いただく8項目は、いずれも受託者側で仮に置いて作業を進められるものです。仮置きの内容は各項目に記載しています。</w:t>
      </w:r>
    </w:p>
    <w:p>
      <w:pPr>
        <w:spacing w:after="60" w:before="0"/>
      </w:pPr>
      <w:r>
        <w:rPr>
          <w:rFonts w:ascii="游ゴシック" w:hAnsi="游ゴシック" w:eastAsia="游ゴシック"/>
          <w:b/>
          <w:color w:val="1F3864"/>
          <w:sz w:val="22"/>
        </w:rPr>
        <w:t>【進め方の案（120分の場合）】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代表KPI4項目の代理指標</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項目8・9・10・13・14</w:t>
            </w:r>
          </w:p>
        </w:tc>
        <w:tc>
          <w:tcPr>
            <w:tcW w:type="dxa" w:w="2268"/>
          </w:tcPr>
          <w:p>
            <w:pPr>
              <w:spacing w:after="20" w:before="20"/>
            </w:pPr>
            <w:r/>
            <w:r>
              <w:rPr>
                <w:rFonts w:ascii="游ゴシック" w:hAnsi="游ゴシック" w:eastAsia="游ゴシック"/>
                <w:b w:val="0"/>
                <w:sz w:val="18"/>
              </w:rPr>
              <w:t>35分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計画の記述と成果品</w:t>
            </w:r>
          </w:p>
        </w:tc>
        <w:tc>
          <w:tcPr>
            <w:tcW w:type="dxa" w:w="2835"/>
          </w:tcPr>
          <w:p>
            <w:pPr>
              <w:spacing w:after="20" w:before="20"/>
            </w:pPr>
            <w:r/>
            <w:r>
              <w:rPr>
                <w:rFonts w:ascii="游ゴシック" w:hAnsi="游ゴシック" w:eastAsia="游ゴシック"/>
                <w:b w:val="0"/>
                <w:sz w:val="18"/>
              </w:rPr>
              <w:t>項目11・12・15・16</w:t>
            </w:r>
          </w:p>
        </w:tc>
        <w:tc>
          <w:tcPr>
            <w:tcW w:type="dxa" w:w="2268"/>
          </w:tcPr>
          <w:p>
            <w:pPr>
              <w:spacing w:after="20" w:before="20"/>
            </w:pPr>
            <w:r/>
            <w:r>
              <w:rPr>
                <w:rFonts w:ascii="游ゴシック" w:hAnsi="游ゴシック" w:eastAsia="游ゴシック"/>
                <w:b w:val="0"/>
                <w:sz w:val="18"/>
              </w:rPr>
              <w:t>20分</w:t>
            </w:r>
          </w:p>
        </w:tc>
      </w:tr>
    </w:tbl>
    <w:p>
      <w:pPr>
        <w:spacing w:after="80"/>
      </w:pPr>
    </w:p>
    <w:p>
      <w:pPr>
        <w:spacing w:after="0" w:before="0"/>
      </w:pPr>
      <w:r>
        <w:rPr>
          <w:rFonts w:ascii="游ゴシック" w:hAnsi="游ゴシック" w:eastAsia="游ゴシック"/>
          <w:b w:val="0"/>
          <w:sz w:val="18"/>
        </w:rPr>
        <w:t>※ 合計120分です。時間が限られる場合は、上記の60分の進め方によってください。</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事業所実態調査で把握できない項目と代表KPI4項目の扱い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令和8年8月6日のご連絡により、事業所実態調査は実施済みであり、現時点で提出されている調査結果はすべて受領しているものと理解しております。</w:t>
            </w:r>
          </w:p>
          <w:p>
            <w:pPr>
              <w:spacing w:after="20" w:before="0"/>
            </w:pPr>
            <w:r>
              <w:rPr>
                <w:rFonts w:ascii="游ゴシック" w:hAnsi="游ゴシック" w:eastAsia="游ゴシック"/>
                <w:b w:val="0"/>
                <w:sz w:val="19"/>
              </w:rPr>
              <w:t>受領した事業所票27件の項目は、介護職員数、常勤・非常勤、外国人、派遣、採用者数、離職者数です。</w:t>
            </w:r>
          </w:p>
          <w:p>
            <w:pPr>
              <w:spacing w:after="20" w:before="0"/>
            </w:pPr>
            <w:r>
              <w:rPr>
                <w:rFonts w:ascii="游ゴシック" w:hAnsi="游ゴシック" w:eastAsia="游ゴシック"/>
                <w:b w:val="0"/>
                <w:sz w:val="19"/>
              </w:rPr>
              <w:t>一方、キックオフ会議資料の設計案が挙げていた欠員、受入困難、休廃止・縮小意向、ICT、生産性、BCPは、受領した回答に含まれておりません。</w:t>
            </w:r>
          </w:p>
          <w:p>
            <w:pPr>
              <w:spacing w:after="20" w:before="0"/>
            </w:pPr>
            <w:r>
              <w:rPr>
                <w:rFonts w:ascii="游ゴシック" w:hAnsi="游ゴシック" w:eastAsia="游ゴシック"/>
                <w:b w:val="0"/>
                <w:sz w:val="19"/>
              </w:rPr>
              <w:t>このため、代表KPIのうち次の4項目は基準値を算定できません。</w:t>
            </w:r>
          </w:p>
          <w:p>
            <w:pPr>
              <w:spacing w:after="20" w:before="0"/>
            </w:pPr>
            <w:r>
              <w:rPr>
                <w:rFonts w:ascii="游ゴシック" w:hAnsi="游ゴシック" w:eastAsia="游ゴシック"/>
                <w:b w:val="0"/>
                <w:sz w:val="19"/>
              </w:rPr>
              <w:t>・H07 主介護者の高負担割合（在宅介護実態調査。未実施）</w:t>
            </w:r>
          </w:p>
          <w:p>
            <w:pPr>
              <w:spacing w:after="20" w:before="0"/>
            </w:pPr>
            <w:r>
              <w:rPr>
                <w:rFonts w:ascii="游ゴシック" w:hAnsi="游ゴシック" w:eastAsia="游ゴシック"/>
                <w:b w:val="0"/>
                <w:sz w:val="19"/>
              </w:rPr>
              <w:t>・H08 介護離職懸念・就労継続困難割合（同上）</w:t>
            </w:r>
          </w:p>
          <w:p>
            <w:pPr>
              <w:spacing w:after="20" w:before="0"/>
            </w:pPr>
            <w:r>
              <w:rPr>
                <w:rFonts w:ascii="游ゴシック" w:hAnsi="游ゴシック" w:eastAsia="游ゴシック"/>
                <w:b w:val="0"/>
                <w:sz w:val="19"/>
              </w:rPr>
              <w:t>・H12 必要サービス未充足率（受入困難の設問なし）</w:t>
            </w:r>
          </w:p>
          <w:p>
            <w:pPr>
              <w:spacing w:after="20" w:before="0"/>
            </w:pPr>
            <w:r>
              <w:rPr>
                <w:rFonts w:ascii="游ゴシック" w:hAnsi="游ゴシック" w:eastAsia="游ゴシック"/>
                <w:b w:val="0"/>
                <w:sz w:val="19"/>
              </w:rPr>
              <w:t>・H16 災害・感染症時の必須サービス継続率（BCPの設問なし）</w:t>
            </w:r>
          </w:p>
          <w:p>
            <w:pPr>
              <w:spacing w:after="20" w:before="0"/>
            </w:pPr>
            <w:r>
              <w:rPr>
                <w:rFonts w:ascii="游ゴシック" w:hAnsi="游ゴシック" w:eastAsia="游ゴシック"/>
                <w:b w:val="0"/>
                <w:sz w:val="19"/>
              </w:rPr>
              <w:t>受託者は代理指標への振替を案としております。H12は居所変更実態調査の「供給不足を理由とする住替え」で部分的に、H16はBCPの策定率という体制の指標に組み替えることが考えられます。H07・H08は代替できる指標が見当た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代理指標へ振り替える（受託者の案）</w:t>
            </w:r>
          </w:p>
          <w:p>
            <w:pPr>
              <w:spacing w:after="20" w:before="0"/>
            </w:pPr>
            <w:r>
              <w:rPr>
                <w:rFonts w:ascii="游ゴシック" w:hAnsi="游ゴシック" w:eastAsia="游ゴシック"/>
                <w:b w:val="0"/>
                <w:sz w:val="19"/>
              </w:rPr>
              <w:t>□　4項目を代表KPIから落とす</w:t>
            </w:r>
          </w:p>
          <w:p>
            <w:pPr>
              <w:spacing w:after="20" w:before="0"/>
            </w:pPr>
            <w:r>
              <w:rPr>
                <w:rFonts w:ascii="游ゴシック" w:hAnsi="游ゴシック" w:eastAsia="游ゴシック"/>
                <w:b w:val="0"/>
                <w:sz w:val="19"/>
              </w:rPr>
              <w:t>□　追加の設問により事業所へ照会する</w:t>
            </w:r>
          </w:p>
          <w:p>
            <w:pPr>
              <w:spacing w:after="20" w:before="0"/>
            </w:pPr>
            <w:r>
              <w:rPr>
                <w:rFonts w:ascii="游ゴシック" w:hAnsi="游ゴシック" w:eastAsia="游ゴシック"/>
                <w:b w:val="0"/>
                <w:sz w:val="19"/>
              </w:rPr>
              <w:t>□　在宅介護実態調査を別途実施する（業務範囲の追加として別途協議する）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代表KPIのH07（介護者の負担）・H08（就労との両立）・H12（必要サービス未充足率）・H16（災害感染症時の継続率）の基準値と目標値が確定しません。計画本文の代表KPIが16項目から12項目に減る可能性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骨子案 第6節／キックオフ資料（校正反映版）表5・表10／実施済み3調査の受領点検と集計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3調査の配布先と回収の記録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在宅生活改善調査、居所変更実態調査、介護人材実態調査の第10期分は、令和8年8月4日に23の法人・事業者から102ファイルをご提供いただき、集計・分析を完了しました。</w:t>
            </w:r>
          </w:p>
          <w:p>
            <w:pPr>
              <w:spacing w:after="20" w:before="0"/>
            </w:pPr>
            <w:r>
              <w:rPr>
                <w:rFonts w:ascii="游ゴシック" w:hAnsi="游ゴシック" w:eastAsia="游ゴシック"/>
                <w:b w:val="0"/>
                <w:sz w:val="19"/>
              </w:rPr>
              <w:t>残るのは配布先と回収の記録です。配布数の記録がないため、３調査とも回収率を算定できていません。公表データで母数を置き換えられる訪問系（13事業所のうち3事業所・回収率23.1％）と居宅介護支援（13事業所のうち10事業所）以外は、回答が区域内の実態を代表しているかを判定できません。</w:t>
            </w:r>
          </w:p>
          <w:p>
            <w:pPr>
              <w:spacing w:after="20" w:before="0"/>
            </w:pPr>
            <w:r>
              <w:rPr>
                <w:rFonts w:ascii="游ゴシック" w:hAnsi="游ゴシック" w:eastAsia="游ゴシック"/>
                <w:b w:val="0"/>
                <w:sz w:val="19"/>
              </w:rPr>
              <w:t>調査票の様式（第10期分）もあわせてご提供ください。利用者票の所在地区の選択肢が「1.○○　2.○○」のまま配布されていること（点検事項No.3）の経緯を確認するために要します。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配布先の一覧と配布数を提供できる（令和8年8月中）</w:t>
            </w:r>
          </w:p>
          <w:p>
            <w:pPr>
              <w:spacing w:after="20" w:before="0"/>
            </w:pPr>
            <w:r>
              <w:rPr>
                <w:rFonts w:ascii="游ゴシック" w:hAnsi="游ゴシック" w:eastAsia="游ゴシック"/>
                <w:b w:val="0"/>
                <w:sz w:val="19"/>
              </w:rPr>
              <w:t>□　配布先の一覧のみ提供できる（配布数の記録はない）</w:t>
            </w:r>
          </w:p>
          <w:p>
            <w:pPr>
              <w:spacing w:after="20" w:before="0"/>
            </w:pPr>
            <w:r>
              <w:rPr>
                <w:rFonts w:ascii="游ゴシック" w:hAnsi="游ゴシック" w:eastAsia="游ゴシック"/>
                <w:b w:val="0"/>
                <w:sz w:val="19"/>
              </w:rPr>
              <w:t>□　記録が残っていないため提供できない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回収率を算定できず、調査結果が区域内の実態をどの程度代表しているかを報告書に記述できません。また、回答のない９施設（項目14）が配布先から漏れていたのか回収できなかったのかを判別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資料No.2／実施済み調査 結果報告書 第1章2（4）／3調査の点検 No.29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居住系・施設の種別別受給者数と総合事業の実績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種別・要介護度別の受給者数は、同日にご提供いただいた見える化システムのD45・D46系列により代替でき、第2段階（サービス見込量）の算定チェーンが閉じました。同チェーンにより令和7年度の実績を1％未満の差で再現できることを確認しています。</w:t>
            </w:r>
          </w:p>
          <w:p>
            <w:pPr>
              <w:spacing w:after="20" w:before="0"/>
            </w:pPr>
            <w:r>
              <w:rPr>
                <w:rFonts w:ascii="游ゴシック" w:hAnsi="游ゴシック" w:eastAsia="游ゴシック"/>
                <w:b w:val="0"/>
                <w:sz w:val="19"/>
              </w:rPr>
              <w:t>残るのは次の２点です。</w:t>
            </w:r>
          </w:p>
          <w:p>
            <w:pPr>
              <w:spacing w:after="20" w:before="0"/>
            </w:pPr>
            <w:r>
              <w:rPr>
                <w:rFonts w:ascii="游ゴシック" w:hAnsi="游ゴシック" w:eastAsia="游ゴシック"/>
                <w:b w:val="0"/>
                <w:sz w:val="19"/>
              </w:rPr>
              <w:t>【5-1】居住系・施設サービスの種別別の受給者数。見える化のD系列は「居住系」「施設」の区分までであり、グループホーム・特定施設・特養・老健の別が分かりません。第6章第4節（施設等の整備の方針）は種別ごとに定めるため、内訳を要します。</w:t>
            </w:r>
          </w:p>
          <w:p>
            <w:pPr>
              <w:spacing w:after="20" w:before="0"/>
            </w:pPr>
            <w:r>
              <w:rPr>
                <w:rFonts w:ascii="游ゴシック" w:hAnsi="游ゴシック" w:eastAsia="游ゴシック"/>
                <w:b w:val="0"/>
                <w:sz w:val="19"/>
              </w:rPr>
              <w:t>【5-2】介護予防・日常生活支援総合事業の実績（訪問型・通所型のサービス区分別の利用者数と事業費、令和4〜7年度）。見える化システムには系列がなく、広域連合の実績によるほかありません。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5-1・5-2とも提供できる（令和8年9月中）</w:t>
            </w:r>
          </w:p>
          <w:p>
            <w:pPr>
              <w:spacing w:after="20" w:before="0"/>
            </w:pPr>
            <w:r>
              <w:rPr>
                <w:rFonts w:ascii="游ゴシック" w:hAnsi="游ゴシック" w:eastAsia="游ゴシック"/>
                <w:b w:val="0"/>
                <w:sz w:val="19"/>
              </w:rPr>
              <w:t>□　5-1のみ提供できる（総合事業は集計に時間を要する）</w:t>
            </w:r>
          </w:p>
          <w:p>
            <w:pPr>
              <w:spacing w:after="20" w:before="0"/>
            </w:pPr>
            <w:r>
              <w:rPr>
                <w:rFonts w:ascii="游ゴシック" w:hAnsi="游ゴシック" w:eastAsia="游ゴシック"/>
                <w:b w:val="0"/>
                <w:sz w:val="19"/>
              </w:rPr>
              <w:t>□　5-2のみ提供できる</w:t>
            </w:r>
          </w:p>
          <w:p>
            <w:pPr>
              <w:spacing w:after="20" w:before="0"/>
            </w:pPr>
            <w:r>
              <w:rPr>
                <w:rFonts w:ascii="游ゴシック" w:hAnsi="游ゴシック" w:eastAsia="游ゴシック"/>
                <w:b w:val="0"/>
                <w:sz w:val="19"/>
              </w:rPr>
              <w:t>□　施設・居住系は定員により見込むこととし、5-1は要しない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第6章第2節の見込量をサービス種別ごとに示せません。第4節（施設等の整備の方針）を種別ごとに定められません。総合事業は第6章第2節の地域支援事業の見込量が算定できません。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第2段階 07シート／サービス受給者数データの確認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推計の前提（人口の基礎・認定率・利用率・1人当たり利用日数）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p>
            <w:pPr>
              <w:spacing w:after="20" w:before="0"/>
            </w:pPr>
            <w:r>
              <w:rPr>
                <w:rFonts w:ascii="游ゴシック" w:hAnsi="游ゴシック" w:eastAsia="游ゴシック"/>
                <w:b w:val="0"/>
                <w:sz w:val="19"/>
              </w:rPr>
              <w:t>あわせて、サービス見込量（第2段階）の前提として次の2点をご確認ください。</w:t>
            </w:r>
          </w:p>
          <w:p>
            <w:pPr>
              <w:spacing w:after="20" w:before="0"/>
            </w:pPr>
            <w:r>
              <w:rPr>
                <w:rFonts w:ascii="游ゴシック" w:hAnsi="游ゴシック" w:eastAsia="游ゴシック"/>
                <w:b w:val="0"/>
                <w:sz w:val="19"/>
              </w:rPr>
              <w:t>【6-3 利用率】要介護度別の利用率（在宅51.2％・居住系7.3％・施設17.0％）を令和7年度の値で固定するか、直近3年の趨勢を延長するか。趨勢を延長すると令和11年度の在宅利用者数が6.7％増、施設が9.3％減となります。</w:t>
            </w:r>
          </w:p>
          <w:p>
            <w:pPr>
              <w:spacing w:after="20" w:before="0"/>
            </w:pPr>
            <w:r>
              <w:rPr>
                <w:rFonts w:ascii="游ゴシック" w:hAnsi="游ゴシック" w:eastAsia="游ゴシック"/>
                <w:b w:val="0"/>
                <w:sz w:val="19"/>
              </w:rPr>
              <w:t>【6-4 1人当たり利用日数・回数】訪問介護は令和7年度55回で、平成26年度の22回から2.5倍になっています。令和7年度で固定するか、直近3年の趨勢（年4回増）を延長するかで、令和11年度の見込量が15,645回／月と19,351回／月（＋23.7％）に分かれます。</w:t>
            </w:r>
          </w:p>
          <w:p>
            <w:pPr>
              <w:spacing w:after="20" w:before="0"/>
            </w:pPr>
            <w:r>
              <w:rPr>
                <w:rFonts w:ascii="游ゴシック" w:hAnsi="游ゴシック" w:eastAsia="游ゴシック"/>
                <w:b w:val="0"/>
                <w:sz w:val="19"/>
              </w:rPr>
              <w:t>受託者は、6-3・6-4のいずれも令和7年度の値で固定することを基本とし、趨勢を見込んだ場合を感度分析として併記することを提案いたします（別冊「将来推計 第2段階」05シート）。</w:t>
            </w:r>
          </w:p>
          <w:p>
            <w:pPr>
              <w:spacing w:after="20" w:before="0"/>
            </w:pPr>
            <w:r>
              <w:rPr>
                <w:rFonts w:ascii="游ゴシック" w:hAnsi="游ゴシック" w:eastAsia="游ゴシック"/>
                <w:b w:val="0"/>
                <w:sz w:val="19"/>
              </w:rPr>
              <w:t>【6-6 需要3シナリオの使い方】上記の前提を組み合わせた低位・標準・高位の3シナリオを別冊「需要3シナリオの感度表」にまとめました。令和11年度の幅は、在宅＋0.0〜＋13.5％、居住系▲9.9〜＋5.4％、施設▲13.5〜＋5.4％、訪問介護▲3.4〜＋36.0％です。高位でも施設・居住系は区域内定員に収まります。</w:t>
            </w:r>
          </w:p>
          <w:p>
            <w:pPr>
              <w:spacing w:after="20" w:before="0"/>
            </w:pPr>
            <w:r>
              <w:rPr>
                <w:rFonts w:ascii="游ゴシック" w:hAnsi="游ゴシック" w:eastAsia="游ゴシック"/>
                <w:b w:val="0"/>
                <w:sz w:val="19"/>
              </w:rPr>
              <w:t>低位・高位は前提を同時に片側へ置いた場合の上下限であり、統計的な区間ではありません。受託者は、計画本文には標準のみを載せ、低位・高位は保険料の感応度の確認と委員会資料に用いることを案としています。</w:t>
            </w:r>
          </w:p>
          <w:p>
            <w:pPr>
              <w:spacing w:after="20" w:before="0"/>
            </w:pPr>
            <w:r>
              <w:rPr>
                <w:rFonts w:ascii="游ゴシック" w:hAnsi="游ゴシック" w:eastAsia="游ゴシック"/>
                <w:b w:val="0"/>
                <w:sz w:val="19"/>
              </w:rPr>
              <w:t>【6-5 供給制約と要支援の扱い】北海道の名簿との突合により、区域内の定員は施設462人（特養160・地域密着型特養62・老健240）、居住系255人（グループホーム99・特定施設156）と確定しました。令和11年度の見込量は施設339人（73.4％）・居住系145人（56.9％）でいずれも定員内に収まるため、受託者は供給制約を見込量に反映しないことを案としています。</w:t>
            </w:r>
          </w:p>
          <w:p>
            <w:pPr>
              <w:spacing w:after="20" w:before="0"/>
            </w:pPr>
            <w:r>
              <w:rPr>
                <w:rFonts w:ascii="游ゴシック" w:hAnsi="游ゴシック" w:eastAsia="游ゴシック"/>
                <w:b w:val="0"/>
                <w:sz w:val="19"/>
              </w:rPr>
              <w:t>ただし特定施設は定員156人に対し入居者154人（98.7％）でほぼ満室であり、個々の施設には空きがありません。また特定施設の入居者154人のうち要支援1・2が30人（19.5％）を占めます。居住系の見込量を要介護度別に置く際、要支援の利用率を含めるかどうかで見込量が変わり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【6-3 利用率】令和7年度の値で固定する（受託者の案）</w:t>
            </w:r>
          </w:p>
          <w:p>
            <w:pPr>
              <w:spacing w:after="20" w:before="0"/>
            </w:pPr>
            <w:r>
              <w:rPr>
                <w:rFonts w:ascii="游ゴシック" w:hAnsi="游ゴシック" w:eastAsia="游ゴシック"/>
                <w:b w:val="0"/>
                <w:sz w:val="19"/>
              </w:rPr>
              <w:t>□　【6-3】直近3年（令和5〜7年度）の趨勢を延長する</w:t>
            </w:r>
          </w:p>
          <w:p>
            <w:pPr>
              <w:spacing w:after="20" w:before="0"/>
            </w:pPr>
            <w:r>
              <w:rPr>
                <w:rFonts w:ascii="游ゴシック" w:hAnsi="游ゴシック" w:eastAsia="游ゴシック"/>
                <w:b w:val="0"/>
                <w:sz w:val="19"/>
              </w:rPr>
              <w:t>□　【6-4 1人当たり利用日数・回数】令和7年度の値で固定する（受託者の案）</w:t>
            </w:r>
          </w:p>
          <w:p>
            <w:pPr>
              <w:spacing w:after="20" w:before="0"/>
            </w:pPr>
            <w:r>
              <w:rPr>
                <w:rFonts w:ascii="游ゴシック" w:hAnsi="游ゴシック" w:eastAsia="游ゴシック"/>
                <w:b w:val="0"/>
                <w:sz w:val="19"/>
              </w:rPr>
              <w:t>□　【6-4】直近3年の趨勢を延長する</w:t>
            </w:r>
          </w:p>
          <w:p>
            <w:pPr>
              <w:spacing w:after="20" w:before="0"/>
            </w:pPr>
            <w:r>
              <w:rPr>
                <w:rFonts w:ascii="游ゴシック" w:hAnsi="游ゴシック" w:eastAsia="游ゴシック"/>
                <w:b w:val="0"/>
                <w:sz w:val="19"/>
              </w:rPr>
              <w:t>□　【6-4】訪問介護のみ趨勢を延長し、他は令和7年度で固定する</w:t>
            </w:r>
          </w:p>
          <w:p>
            <w:pPr>
              <w:spacing w:after="20" w:before="0"/>
            </w:pPr>
            <w:r>
              <w:rPr>
                <w:rFonts w:ascii="游ゴシック" w:hAnsi="游ゴシック" w:eastAsia="游ゴシック"/>
                <w:b w:val="0"/>
                <w:sz w:val="19"/>
              </w:rPr>
              <w:t>□　【6-5 供給制約】定員内に収まるため制約を反映しない（受託者の案）</w:t>
            </w:r>
          </w:p>
          <w:p>
            <w:pPr>
              <w:spacing w:after="20" w:before="0"/>
            </w:pPr>
            <w:r>
              <w:rPr>
                <w:rFonts w:ascii="游ゴシック" w:hAnsi="游ゴシック" w:eastAsia="游ゴシック"/>
                <w:b w:val="0"/>
                <w:sz w:val="19"/>
              </w:rPr>
              <w:t>□　【6-5】特定施設が満室であることを踏まえ、居住系は現在の入居者数を上限とする</w:t>
            </w:r>
          </w:p>
          <w:p>
            <w:pPr>
              <w:spacing w:after="20" w:before="0"/>
            </w:pPr>
            <w:r>
              <w:rPr>
                <w:rFonts w:ascii="游ゴシック" w:hAnsi="游ゴシック" w:eastAsia="游ゴシック"/>
                <w:b w:val="0"/>
                <w:sz w:val="19"/>
              </w:rPr>
              <w:t>□　【6-5 要支援】居住系の見込量に要支援の利用率を含める（受託者の案）</w:t>
            </w:r>
          </w:p>
          <w:p>
            <w:pPr>
              <w:spacing w:after="20" w:before="0"/>
            </w:pPr>
            <w:r>
              <w:rPr>
                <w:rFonts w:ascii="游ゴシック" w:hAnsi="游ゴシック" w:eastAsia="游ゴシック"/>
                <w:b w:val="0"/>
                <w:sz w:val="19"/>
              </w:rPr>
              <w:t>□　【6-5】居住系の見込量は要介護1以上のみとする</w:t>
            </w:r>
          </w:p>
          <w:p>
            <w:pPr>
              <w:spacing w:after="20" w:before="0"/>
            </w:pPr>
            <w:r>
              <w:rPr>
                <w:rFonts w:ascii="游ゴシック" w:hAnsi="游ゴシック" w:eastAsia="游ゴシック"/>
                <w:b w:val="0"/>
                <w:sz w:val="19"/>
              </w:rPr>
              <w:t>□　【6-6 3シナリオ】計画本文には標準のみを載せ、低位・高位は保険料の感応度の確認に用いる（受託者の案）</w:t>
            </w:r>
          </w:p>
          <w:p>
            <w:pPr>
              <w:spacing w:after="20" w:before="0"/>
            </w:pPr>
            <w:r>
              <w:rPr>
                <w:rFonts w:ascii="游ゴシック" w:hAnsi="游ゴシック" w:eastAsia="游ゴシック"/>
                <w:b w:val="0"/>
                <w:sz w:val="19"/>
              </w:rPr>
              <w:t>□　【6-6】計画本文に3シナリオを併記する</w:t>
            </w:r>
          </w:p>
          <w:p>
            <w:pPr>
              <w:spacing w:after="20" w:before="0"/>
            </w:pPr>
            <w:r>
              <w:rPr>
                <w:rFonts w:ascii="游ゴシック" w:hAnsi="游ゴシック" w:eastAsia="游ゴシック"/>
                <w:b w:val="0"/>
                <w:sz w:val="19"/>
              </w:rPr>
              <w:t>□　【6-6】低位・高位も含めて委員会に諮る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認定者数と見込量が1本に確定しません。給付費、保険料に順に波及するため、令和8年12月の工程（計画素案の確定版）に間に合わなくなります。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方針No.2・No.18・No.19／将来推計 03・04シート／将来推計 第2段階 00・05・06・07シート／需要3シナリオの感度表 00・03・05・07シート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H01の測定指標を見える化W144（性・年齢調整済み要介護2以上認定率・9.25％）とすること。当初のB5-a【注目する地域のみ】18.4％は他地域と比較できないため撤回しました。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計画素案は令和8年8月時点の版です。今後も複数回の改稿が見込まれるため、レビューの方法を定めさせてください。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35件（重大6件・要確認21件・様式8件）です。</w:t>
            </w:r>
          </w:p>
          <w:p>
            <w:pPr>
              <w:spacing w:after="20" w:before="0"/>
            </w:pPr>
            <w:r>
              <w:rPr>
                <w:rFonts w:ascii="游ゴシック" w:hAnsi="游ゴシック" w:eastAsia="游ゴシック"/>
                <w:b w:val="0"/>
                <w:sz w:val="19"/>
              </w:rPr>
              <w:t>このうち次の5件は、集計の方法を決めないと計画本文に載せる数値が変わります。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⑤ 北海道の名簿との突合により、区域内最大の特定施設であるさわやか東神楽館（東神楽町・定員100人）が居所変更実態調査に回答していないことが分かりました。令和8年8月5日にご提供いただいた同施設の公表画面により、定員100人・入居者97人・要介護度別の内訳・介護職員31人は補えましたが、入所前の居場所と退去先は公表されていないため補えません。特定施設の集計（新規入所の84.2％が区域外）は定員56人分の2施設に基づくものです。</w:t>
            </w:r>
          </w:p>
          <w:p>
            <w:pPr>
              <w:spacing w:after="20" w:before="0"/>
            </w:pPr>
            <w:r>
              <w:rPr>
                <w:rFonts w:ascii="游ゴシック" w:hAnsi="游ゴシック" w:eastAsia="游ゴシック"/>
                <w:b w:val="0"/>
                <w:sz w:val="19"/>
              </w:rPr>
              <w:t>このほか、事業所への照会により解消できる事項が20件あります。うち介護老人保健施設の介護職員数（No.31）とグループホームびえいの郷の非常勤の未記入（No.33）は、介護サービス情報公表システムの個別画面により確認を進めています。びえいの郷は公表画面の常勤10人が調査と一致し、未記入の非常勤は6人程度とみられま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①は照会のうえ実数を確定する／②は提出元を除いた集計を併記する／③は地区別分析を行わない／⑤は照会する（受託者の案）</w:t>
            </w:r>
          </w:p>
          <w:p>
            <w:pPr>
              <w:spacing w:after="20" w:before="0"/>
            </w:pPr>
            <w:r>
              <w:rPr>
                <w:rFonts w:ascii="游ゴシック" w:hAnsi="游ゴシック" w:eastAsia="游ゴシック"/>
                <w:b w:val="0"/>
                <w:sz w:val="19"/>
              </w:rPr>
              <w:t>□　5件とも事業所へ照会し、確定した数値で集計する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02シートNo.1〜No.3・No.31〜No.33／09・10シート／実施済み調査 結果報告書 第8章第3節</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施設・住まいの供給量と調査の配布範囲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から5日にかけて、北海道が公表する施設・住まいの名簿（届出済有料老人ホーム・未届け有料老人ホーム・住所地特例適用のサービス付き高齢者向け住宅・軽費老人ホーム・養護老人ホーム・特別養護老人ホーム・介護保険事業所一覧47区分・位置情報付き事業所データ）と、介護サービス情報公表システムの個別公表画面を受領しました。</w:t>
            </w:r>
          </w:p>
          <w:p>
            <w:pPr>
              <w:spacing w:after="20" w:before="0"/>
            </w:pPr>
            <w:r>
              <w:rPr>
                <w:rFonts w:ascii="游ゴシック" w:hAnsi="游ゴシック" w:eastAsia="游ゴシック"/>
                <w:b w:val="0"/>
                <w:sz w:val="19"/>
              </w:rPr>
              <w:t>これにより、計画本文に載せる供給量が次のとおり変わります。</w:t>
            </w:r>
          </w:p>
          <w:p>
            <w:pPr>
              <w:spacing w:after="20" w:before="0"/>
            </w:pPr>
            <w:r>
              <w:rPr>
                <w:rFonts w:ascii="游ゴシック" w:hAnsi="游ゴシック" w:eastAsia="游ゴシック"/>
                <w:b w:val="0"/>
                <w:sz w:val="19"/>
              </w:rPr>
              <w:t>① 特定施設　2施設58人　→　3施設156人</w:t>
            </w:r>
          </w:p>
          <w:p>
            <w:pPr>
              <w:spacing w:after="20" w:before="0"/>
            </w:pPr>
            <w:r>
              <w:rPr>
                <w:rFonts w:ascii="游ゴシック" w:hAnsi="游ゴシック" w:eastAsia="游ゴシック"/>
                <w:b w:val="0"/>
                <w:sz w:val="19"/>
              </w:rPr>
              <w:t>② 住宅型有料老人ホーム　3施設91人　→　9施設223人</w:t>
            </w:r>
          </w:p>
          <w:p>
            <w:pPr>
              <w:spacing w:after="20" w:before="0"/>
            </w:pPr>
            <w:r>
              <w:rPr>
                <w:rFonts w:ascii="游ゴシック" w:hAnsi="游ゴシック" w:eastAsia="游ゴシック"/>
                <w:b w:val="0"/>
                <w:sz w:val="19"/>
              </w:rPr>
              <w:t>③ サービス付き高齢者向け住宅　1件30戸　→　2件66戸</w:t>
            </w:r>
          </w:p>
          <w:p>
            <w:pPr>
              <w:spacing w:after="20" w:before="0"/>
            </w:pPr>
            <w:r>
              <w:rPr>
                <w:rFonts w:ascii="游ゴシック" w:hAnsi="游ゴシック" w:eastAsia="游ゴシック"/>
                <w:b w:val="0"/>
                <w:sz w:val="19"/>
              </w:rPr>
              <w:t>④ 軽費老人ホーム　記載なし　→　1施設50人</w:t>
            </w:r>
          </w:p>
          <w:p>
            <w:pPr>
              <w:spacing w:after="20" w:before="0"/>
            </w:pPr>
            <w:r>
              <w:rPr>
                <w:rFonts w:ascii="游ゴシック" w:hAnsi="游ゴシック" w:eastAsia="游ゴシック"/>
                <w:b w:val="0"/>
                <w:sz w:val="19"/>
              </w:rPr>
              <w:t>⑤ 介護老人福祉施設　2施設110人　→　3施設160人</w:t>
            </w:r>
          </w:p>
          <w:p>
            <w:pPr>
              <w:spacing w:after="20" w:before="0"/>
            </w:pPr>
            <w:r>
              <w:rPr>
                <w:rFonts w:ascii="游ゴシック" w:hAnsi="游ゴシック" w:eastAsia="游ゴシック"/>
                <w:b w:val="0"/>
                <w:sz w:val="19"/>
              </w:rPr>
              <w:t xml:space="preserve">　（地域密着型は2施設42人　→　3施設62人）</w:t>
            </w:r>
          </w:p>
          <w:p>
            <w:pPr>
              <w:spacing w:after="20" w:before="0"/>
            </w:pPr>
            <w:r>
              <w:rPr>
                <w:rFonts w:ascii="游ゴシック" w:hAnsi="游ゴシック" w:eastAsia="游ゴシック"/>
                <w:b w:val="0"/>
                <w:sz w:val="19"/>
              </w:rPr>
              <w:t>⑥ グループホーム　5事業所81人　→　7事業所99人＋1事業所未確定</w:t>
            </w:r>
          </w:p>
          <w:p>
            <w:pPr>
              <w:spacing w:after="20" w:before="0"/>
            </w:pPr>
            <w:r>
              <w:rPr>
                <w:rFonts w:ascii="游ゴシック" w:hAnsi="游ゴシック" w:eastAsia="游ゴシック"/>
                <w:b w:val="0"/>
                <w:sz w:val="19"/>
              </w:rPr>
              <w:t>⑦ 介護老人保健施設　3施設240人（変わりません）</w:t>
            </w:r>
          </w:p>
          <w:p>
            <w:pPr>
              <w:spacing w:after="20" w:before="0"/>
            </w:pPr>
            <w:r>
              <w:rPr>
                <w:rFonts w:ascii="游ゴシック" w:hAnsi="游ゴシック" w:eastAsia="游ゴシック"/>
                <w:b w:val="0"/>
                <w:sz w:val="19"/>
              </w:rPr>
              <w:t>居所変更実態調査に回答していない施設が13施設あり、うち8施設は介護保険の指定を受けない住まいです。配布していたのか、配布先から漏れていたのかをご確認ください。</w:t>
            </w:r>
          </w:p>
          <w:p>
            <w:pPr>
              <w:spacing w:after="20" w:before="0"/>
            </w:pPr>
            <w:r>
              <w:rPr>
                <w:rFonts w:ascii="游ゴシック" w:hAnsi="游ゴシック" w:eastAsia="游ゴシック"/>
                <w:b w:val="0"/>
                <w:sz w:val="19"/>
              </w:rPr>
              <w:t>またグループホームくるみの郷（東川町・有限会社プランタン東川・事業所番号0173100371）は、北海道の指定事業所一覧に掲載されている一方、介護サービス情報公表システムに掲載がなく、受託者からは定員を把握できません。認知症対応型共同生活介護は地域密着型サービスであり、指定権者は大雪地区広域連合です。台帳により定員と休止の有無をご確認ください。区域内で定員が未確定なのは同事業所のみです。</w:t>
            </w:r>
          </w:p>
          <w:p>
            <w:pPr>
              <w:spacing w:after="20" w:before="0"/>
            </w:pPr>
            <w:r>
              <w:rPr>
                <w:rFonts w:ascii="游ゴシック" w:hAnsi="游ゴシック" w:eastAsia="游ゴシック"/>
                <w:b w:val="0"/>
                <w:sz w:val="19"/>
              </w:rPr>
              <w:t>なお、公表画面の受領は3事業所（グループホームファミリー・さわやか東神楽館・グループホームびえいの郷）まで進んでおり、いずれも事業所単位の従業者数を確認できています。残る事業所も同じ方法で確認できますが、個別画面を1件ずつ開く必要があるため、どの範囲まで行う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定員は名簿により差し替え、入居者数は調査に回答した4施設分のみを用いる（受託者の案）</w:t>
            </w:r>
          </w:p>
          <w:p>
            <w:pPr>
              <w:spacing w:after="20" w:before="0"/>
            </w:pPr>
            <w:r>
              <w:rPr>
                <w:rFonts w:ascii="游ゴシック" w:hAnsi="游ゴシック" w:eastAsia="游ゴシック"/>
                <w:b w:val="0"/>
                <w:sz w:val="19"/>
              </w:rPr>
              <w:t>□　未回答の13施設へ照会し、入居者数を含めて把握する</w:t>
            </w:r>
          </w:p>
          <w:p>
            <w:pPr>
              <w:spacing w:after="20" w:before="0"/>
            </w:pPr>
            <w:r>
              <w:rPr>
                <w:rFonts w:ascii="游ゴシック" w:hAnsi="游ゴシック" w:eastAsia="游ゴシック"/>
                <w:b w:val="0"/>
                <w:sz w:val="19"/>
              </w:rPr>
              <w:t>□　未回答の13施設へ照会し、さわやか東神楽館のみ入退去の状況も把握する</w:t>
            </w:r>
          </w:p>
          <w:p>
            <w:pPr>
              <w:spacing w:after="20" w:before="0"/>
            </w:pPr>
            <w:r>
              <w:rPr>
                <w:rFonts w:ascii="游ゴシック" w:hAnsi="游ゴシック" w:eastAsia="游ゴシック"/>
                <w:b w:val="0"/>
                <w:sz w:val="19"/>
              </w:rPr>
              <w:t>□　定員のみを掲載し、入居者数は計画本文に載せない</w:t>
            </w:r>
          </w:p>
          <w:p>
            <w:pPr>
              <w:spacing w:after="20" w:before="0"/>
            </w:pPr>
            <w:r>
              <w:rPr>
                <w:rFonts w:ascii="游ゴシック" w:hAnsi="游ゴシック" w:eastAsia="游ゴシック"/>
                <w:b w:val="0"/>
                <w:sz w:val="19"/>
              </w:rPr>
              <w:t>□　【公表画面】区域内の全事業所について受託者が確認する</w:t>
            </w:r>
          </w:p>
          <w:p>
            <w:pPr>
              <w:spacing w:after="20" w:before="0"/>
            </w:pPr>
            <w:r>
              <w:rPr>
                <w:rFonts w:ascii="游ゴシック" w:hAnsi="游ゴシック" w:eastAsia="游ゴシック"/>
                <w:b w:val="0"/>
                <w:sz w:val="19"/>
              </w:rPr>
              <w:t>□　【公表画面】数値に差のある事業所のみ受託者が確認する（受託者の案）</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住まいの供給量・サービス提供体制）の数値が確定しません。特定施設の入所前の居場所・退去先の集計が区域内最大の施設を欠いたままとなります。またくるみの郷の定員が分からないと、居住系の区域内定員（現在255人）が確定せず、第6章第4節（施設等の整備の方針）の判断材料が欠け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住まいと施設の公表名簿との突合 00・04・05・09・10シート／必要事項の一覧 資料No.5・No.6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項目15</w:t>
            </w:r>
          </w:p>
          <w:p>
            <w:pPr>
              <w:spacing w:after="20" w:before="0"/>
            </w:pPr>
            <w:r>
              <w:rPr>
                <w:rFonts w:ascii="游ゴシック" w:hAnsi="游ゴシック" w:eastAsia="游ゴシック"/>
                <w:b/>
                <w:color w:val="FFFFFF"/>
                <w:sz w:val="20"/>
              </w:rPr>
              <w:t>計画の記述</w:t>
            </w:r>
          </w:p>
        </w:tc>
        <w:tc>
          <w:tcPr>
            <w:tcW w:type="dxa" w:w="7824"/>
            <w:shd w:val="clear" w:fill="DEEBF7"/>
          </w:tcPr>
          <w:p>
            <w:pPr>
              <w:spacing w:after="20" w:before="20"/>
            </w:pPr>
            <w:r/>
            <w:r>
              <w:rPr>
                <w:rFonts w:ascii="游ゴシック" w:hAnsi="游ゴシック" w:eastAsia="游ゴシック"/>
                <w:b/>
                <w:sz w:val="22"/>
              </w:rPr>
              <w:t>供給構造に関する記述の表現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調査結果と公表データの突合により、区域内の供給構造について次のことが明らかになりました。いずれも計画本文に記述する場合、特定の法人や事業所の評価と受け取られないよう表現に配慮を要します。</w:t>
            </w:r>
          </w:p>
          <w:p>
            <w:pPr>
              <w:spacing w:after="20" w:before="0"/>
            </w:pPr>
            <w:r>
              <w:rPr>
                <w:rFonts w:ascii="游ゴシック" w:hAnsi="游ゴシック" w:eastAsia="游ゴシック"/>
                <w:b w:val="0"/>
                <w:sz w:val="19"/>
              </w:rPr>
              <w:t>① 区域内の実75事業所を28法人が運営し、上位6法人が39事業所（52.0％）を占めます。13法人は1事業所のみです。</w:t>
            </w:r>
          </w:p>
          <w:p>
            <w:pPr>
              <w:spacing w:after="20" w:before="0"/>
            </w:pPr>
            <w:r>
              <w:rPr>
                <w:rFonts w:ascii="游ゴシック" w:hAnsi="游ゴシック" w:eastAsia="游ゴシック"/>
                <w:b w:val="0"/>
                <w:sz w:val="19"/>
              </w:rPr>
              <w:t>② 小規模多機能型居宅介護5事業所はすべて社会福祉法人美瑛慈光会が美瑛町で運営しており、東川町・東神楽町を通常の事業実施地域とするのは1事業所のみです。</w:t>
            </w:r>
          </w:p>
          <w:p>
            <w:pPr>
              <w:spacing w:after="20" w:before="0"/>
            </w:pPr>
            <w:r>
              <w:rPr>
                <w:rFonts w:ascii="游ゴシック" w:hAnsi="游ゴシック" w:eastAsia="游ゴシック"/>
                <w:b w:val="0"/>
                <w:sz w:val="19"/>
              </w:rPr>
              <w:t>③ 在宅生活改善調査で「小規模多機能がより適切」とする回答が44件と最多でしたが、うち31件（70.5％）は同一法人の2事業所からの提出票によるものです。受託者は、この偏りが調査設計ではなく供給構造の反映であると整理しています。</w:t>
            </w:r>
          </w:p>
          <w:p>
            <w:pPr>
              <w:spacing w:after="20" w:before="0"/>
            </w:pPr>
            <w:r>
              <w:rPr>
                <w:rFonts w:ascii="游ゴシック" w:hAnsi="游ゴシック" w:eastAsia="游ゴシック"/>
                <w:b w:val="0"/>
                <w:sz w:val="19"/>
              </w:rPr>
              <w:t>④ 特定施設の入居者154人のうち要支援1〜要介護1が86人（55.8％）を占め、要介護4・5は27人（17.5％）です。</w:t>
            </w:r>
          </w:p>
          <w:p>
            <w:pPr>
              <w:spacing w:after="20" w:before="0"/>
            </w:pPr>
            <w:r>
              <w:rPr>
                <w:rFonts w:ascii="游ゴシック" w:hAnsi="游ゴシック" w:eastAsia="游ゴシック"/>
                <w:b w:val="0"/>
                <w:sz w:val="19"/>
              </w:rPr>
              <w:t>受託者は、法人名を挙げず「区域内の小規模多機能型居宅介護は1法人が運営している」等の書き方とし、事業者の撤退が供給に与える影響及び事業所間の比較による質の評価が成り立ちにくいことを整備の方針の留意事項として記述することを案と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受託者の案のとおり、法人名を挙げずに構造として記述する（受託者の案）</w:t>
            </w:r>
          </w:p>
          <w:p>
            <w:pPr>
              <w:spacing w:after="20" w:before="0"/>
            </w:pPr>
            <w:r>
              <w:rPr>
                <w:rFonts w:ascii="游ゴシック" w:hAnsi="游ゴシック" w:eastAsia="游ゴシック"/>
                <w:b w:val="0"/>
                <w:sz w:val="19"/>
              </w:rPr>
              <w:t>□　法人名を挙げて事実として記述する</w:t>
            </w:r>
          </w:p>
          <w:p>
            <w:pPr>
              <w:spacing w:after="20" w:before="0"/>
            </w:pPr>
            <w:r>
              <w:rPr>
                <w:rFonts w:ascii="游ゴシック" w:hAnsi="游ゴシック" w:eastAsia="游ゴシック"/>
                <w:b w:val="0"/>
                <w:sz w:val="19"/>
              </w:rPr>
              <w:t>□　供給構造に関する記述は計画本文に載せず、分析資料にとどめる</w:t>
            </w:r>
          </w:p>
          <w:p>
            <w:pPr>
              <w:spacing w:after="20" w:before="0"/>
            </w:pPr>
            <w:r>
              <w:rPr>
                <w:rFonts w:ascii="游ゴシック" w:hAnsi="游ゴシック" w:eastAsia="游ゴシック"/>
                <w:b w:val="0"/>
                <w:sz w:val="19"/>
              </w:rPr>
              <w:t>□　記述の可否は策定委員会に諮る</w:t>
            </w:r>
          </w:p>
          <w:p>
            <w:pPr>
              <w:spacing w:after="20" w:before="0"/>
            </w:pPr>
            <w:r>
              <w:rPr>
                <w:rFonts w:ascii="游ゴシック" w:hAnsi="游ゴシック" w:eastAsia="游ゴシック"/>
                <w:b w:val="0"/>
                <w:sz w:val="19"/>
              </w:rPr>
              <w:t>□　本日は保留とし、素案の該当箇所をご確認いただいたうえで決定する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第2章第3節（サービス提供体制）及び第6章第4節（施設等の整備の方針）の記述が確定しません。「より適切と思われるサービス」の集計値（44件）をそのまま需要として用いるかどうかも定まりません。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 第7章第3節／アンケート調査の集計分析報告書 08シート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項目16</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調査結果報告書の様式と構成</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令和8年8月5日にご提示いただいた様式（令和8年度 介護人材実態調査 結果報告書）に合わせ、実施済み調査 結果報告書（Word・8章51表39図）を作成しました。</w:t>
            </w:r>
          </w:p>
          <w:p>
            <w:pPr>
              <w:spacing w:after="20" w:before="0"/>
            </w:pPr>
            <w:r>
              <w:rPr>
                <w:rFonts w:ascii="游ゴシック" w:hAnsi="游ゴシック" w:eastAsia="游ゴシック"/>
                <w:b w:val="0"/>
                <w:sz w:val="19"/>
              </w:rPr>
              <w:t>用紙21.6×27.9cm、本文BIZ UDPゴシック10.5pt、見出1 16pt・見出2 14pt、注記はＭＳ Ｐゴシック11pt（灰色）とし、第1章 調査の概要、「問N　〜について」の見出し、集計結果の表記5項目、（参考）用語集の構成も揃えています。</w:t>
            </w:r>
          </w:p>
          <w:p>
            <w:pPr>
              <w:spacing w:after="20" w:before="0"/>
            </w:pPr>
            <w:r>
              <w:rPr>
                <w:rFonts w:ascii="游ゴシック" w:hAnsi="游ゴシック" w:eastAsia="游ゴシック"/>
                <w:b w:val="0"/>
                <w:sz w:val="19"/>
              </w:rPr>
              <w:t>単数回答は帯グラフ、複数回答は横棒グラフとし、白黒印刷を前提とした濃淡とハッチングで区分を表しています。</w:t>
            </w:r>
          </w:p>
          <w:p>
            <w:pPr>
              <w:spacing w:after="20" w:before="0"/>
            </w:pPr>
            <w:r>
              <w:rPr>
                <w:rFonts w:ascii="游ゴシック" w:hAnsi="游ゴシック" w:eastAsia="游ゴシック"/>
                <w:b w:val="0"/>
                <w:sz w:val="19"/>
              </w:rPr>
              <w:t>ご提示の様式には第5章 経年比較分析（第9期調査との比較）がありますが、第9期分は計画に掲載された集計値のみで原データがないため、本報告書には設けていません。比較できる数値（介護人材実態調査の27施設・405人等）に限り掲載することは可能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現在の構成のとおりとする（受託者の案）</w:t>
            </w:r>
          </w:p>
          <w:p>
            <w:pPr>
              <w:spacing w:after="20" w:before="0"/>
            </w:pPr>
            <w:r>
              <w:rPr>
                <w:rFonts w:ascii="游ゴシック" w:hAnsi="游ゴシック" w:eastAsia="游ゴシック"/>
                <w:b w:val="0"/>
                <w:sz w:val="19"/>
              </w:rPr>
              <w:t>□　第9期との経年比較の章を設ける（比較できる数値に限る）</w:t>
            </w:r>
          </w:p>
          <w:p>
            <w:pPr>
              <w:spacing w:after="20" w:before="0"/>
            </w:pPr>
            <w:r>
              <w:rPr>
                <w:rFonts w:ascii="游ゴシック" w:hAnsi="游ゴシック" w:eastAsia="游ゴシック"/>
                <w:b w:val="0"/>
                <w:sz w:val="19"/>
              </w:rPr>
              <w:t>□　図表の幅・点数を調整する（内容を記入欄に記載）</w:t>
            </w:r>
          </w:p>
          <w:p>
            <w:pPr>
              <w:spacing w:after="20" w:before="0"/>
            </w:pPr>
            <w:r>
              <w:rPr>
                <w:rFonts w:ascii="游ゴシック" w:hAnsi="游ゴシック" w:eastAsia="游ゴシック"/>
                <w:b w:val="0"/>
                <w:sz w:val="19"/>
              </w:rPr>
              <w:t>□　調査ごとに分冊とする</w:t>
            </w:r>
          </w:p>
          <w:p>
            <w:pPr>
              <w:spacing w:after="20" w:before="0"/>
            </w:pPr>
            <w:r>
              <w:rPr>
                <w:rFonts w:ascii="游ゴシック" w:hAnsi="游ゴシック" w:eastAsia="游ゴシック"/>
                <w:b w:val="0"/>
                <w:sz w:val="19"/>
              </w:rPr>
              <w:t>□　本日は保留とし、報告書をご確認いただいたうえで指示する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成果品の様式が確定せず、計画書本体及び概要版の体裁（成果品の仕様No.1〜No.4）とも整合が取れません。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結果報告書／必要事項の一覧 成果品No.2・No.3</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キックオフ会議資料（更新版）の作成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第2段階の確定（採用値の確定）</w:t>
            </w:r>
          </w:p>
        </w:tc>
        <w:tc>
          <w:tcPr>
            <w:tcW w:type="dxa" w:w="3628"/>
          </w:tcPr>
          <w:p>
            <w:pPr>
              <w:spacing w:after="20" w:before="20"/>
            </w:pPr>
            <w:r/>
            <w:r>
              <w:rPr>
                <w:rFonts w:ascii="游ゴシック" w:hAnsi="游ゴシック" w:eastAsia="游ゴシック"/>
                <w:b w:val="0"/>
                <w:sz w:val="18"/>
              </w:rPr>
              <w:t>項目6-2・6-3・6-4のご意向</w:t>
            </w:r>
          </w:p>
        </w:tc>
        <w:tc>
          <w:tcPr>
            <w:tcW w:type="dxa" w:w="2494"/>
          </w:tcPr>
          <w:p>
            <w:pPr>
              <w:spacing w:after="20" w:before="20"/>
            </w:pPr>
            <w:r/>
            <w:r>
              <w:rPr>
                <w:rFonts w:ascii="游ゴシック" w:hAnsi="游ゴシック" w:eastAsia="游ゴシック"/>
                <w:b w:val="0"/>
                <w:sz w:val="18"/>
              </w:rPr>
              <w:t>ご意向から2週間</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16項目は、別冊「必要事項の一覧」に登録済みの事項から、会議でご確認いただくものを抜き出したものです。全体の必要事項（資料15件・決定19件・日程6件・成果品7件・告示待ち5件・受託者の作業8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