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　【要確認】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　【要確認】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施策1-1（通いの場の再構築）・施策1-2（多様なサービスの創設）に反映します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参加率は12.2%です。このうち週1回以上開催しているのは8か所・123人で、参加率は5.3%にとどまります。</w:t>
      </w:r>
    </w:p>
    <w:p>
      <w:pPr>
        <w:spacing w:after="120" w:line="300"/>
      </w:pPr>
      <w:r>
        <w:rPr>
          <w:rFonts w:ascii="游明朝" w:cs="游明朝" w:eastAsia="游明朝" w:hAnsi="游明朝"/>
          <w:sz w:val="21"/>
          <w:szCs w:val="21"/>
        </w:rPr>
        <w:t xml:space="preserve">第9期のアンケート調査における参加率11.2%（509人中57人）とほぼ同じ水準であり、地区による差が大きいことも確認されています。とりわけ大塩地区は参加率・参加意向がいずれも最も低い状況です。</w:t>
      </w:r>
    </w:p>
    <w:p>
      <w:pPr>
        <w:spacing w:after="120" w:line="300"/>
      </w:pPr>
      <w:r>
        <w:rPr>
          <w:rFonts w:ascii="游明朝" w:cs="游明朝" w:eastAsia="游明朝" w:hAnsi="游明朝"/>
          <w:sz w:val="21"/>
          <w:szCs w:val="21"/>
        </w:rPr>
        <w:t xml:space="preserve">介護予防の効果は開催の頻度に左右されます。週1回以上の開催が8か所にとどまることは、箇所数を増やすことと同時に、既存の通いの場の開催頻度を高めることが課題であることを示しています。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残された課題は2点です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1123"/>
        <w:gridCol w:w="4399"/>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439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 目標Ⅱ（認知症総合支援）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全国平均を下回る唯一の目標。3か年で唯一、得点が低下した局面がある</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目標Ⅳ（成果指標群）</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令和6年度65点、令和7年度70点から令和8年度は45点へ25点低下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す。得点の低下は、要介護度の維持・改善の実績そのものが後退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中重度の方については状態の改善が見られる一方、軽度の方については重度化が進んでいます。2-3で見た要支援1の急増と、2-6で見た介護予防の受け皿の不足が、この結果に現れているものと考えられます。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おり、本計画ではこの点を第6章において改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においても、軽度の方の重度化が進んでいることが確認されています。</w:t>
      </w:r>
    </w:p>
    <w:p>
      <w:pPr>
        <w:spacing w:after="100" w:line="300"/>
      </w:pPr>
      <w:r>
        <w:rPr>
          <w:rFonts w:ascii="游ゴシック" w:cs="游ゴシック" w:eastAsia="游ゴシック" w:hAnsi="游ゴシック"/>
          <w:b/>
          <w:bCs/>
          <w:color w:val="2E75B6"/>
          <w:sz w:val="21"/>
          <w:szCs w:val="21"/>
        </w:rPr>
        <w:t xml:space="preserve">課題3　計画を評価し改善する仕組みが十分ではありません</w:t>
      </w:r>
    </w:p>
    <w:p>
      <w:pPr>
        <w:spacing w:after="120" w:line="300"/>
      </w:pPr>
      <w:r>
        <w:rPr>
          <w:rFonts w:ascii="游明朝" w:cs="游明朝" w:eastAsia="游明朝" w:hAnsi="游明朝"/>
          <w:sz w:val="21"/>
          <w:szCs w:val="21"/>
        </w:rPr>
        <w:t xml:space="preserve">計画値と実績値の乖離の分析、目標未達成時の改善、評価結果の共有のいずれもが、国の評価指標において0点となっています。第9期の推計の乖離も、検証の仕組みがあれば計画期間の途中で把握できたもので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総合事業における多様なサービスの創設を検討するとともに、通いの場を再構築し、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通いの場の再構築と参加率の向上／1-2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要支援1の認定者が6年間で3倍になる一方、介護予防の受け皿は整っていません。国の評価指標において0点であった21項目のうち8項目がこの分野に集中しています。本計画の最重点分野として取り組みます。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通いの場の再構築と参加率の向上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参加率は12.2%です。このうち週1回以上開催しているのは8か所・123人で、参加率は5.3%にとどまります。第9期の調査における参加率11.2%とほぼ同じ水準であり、地区による差が大きく、大塩地区が最も低い状況です。介護予防の効果は開催の頻度に左右されるため、箇所数を増やすことと同時に、既存の通いの場の開催頻度を高めること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参加していない方へのアウトリーチを実施します</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介護予防の取組に係る課題把握について、国の評価指標では0点となっています。地域包括ケア「見える化」システムや国保データベース（KDB）システムを活用した分析が行われていません。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データを活用した課題把握の実施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地域リハビリテーション活動支援事業の推進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地域リハビリテーションの推進に向けた具体的な取組について、国の評価指標では0点となっています。関係団体との連携によるリハビリテーション専門職の関与の仕組みが構築されていません。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介護予防と保健事業の一体的実施については、国の評価指標において20点を得ており、第9期の成果の一つです。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では令和3年度5点から令和4年度15点へと改善し、公共交通担当部局との連携体制の構築、取組の実施、取組の見直しで得点しています。一方、移動に関する課題の把握は0点のまま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高齢者の社会参加を促す個人へのインセンティブ付与について、国の評価指標では0点であり、ポイント事業も実施していません。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では0点です。また管内の住宅型有料老人ホーム・サービス付き高齢者向け住宅の情報を計画策定に活用することについても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在宅医療・介護連携と認知症施策は、国の評価指標において高い評価を得ており、第9期の成果です。これらを維持しつつ、活動量の面で課題のある分野を強化します。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初期集中支援チームの活動で40点、早期診断・早期対応の体制構築で20点を得ています。一方、認知症サポーターは約237人（人口比9.8%）が養成されているものの、ステップアップ講座の修了者は0人であり、サポーターが活動に結びついていません。また第9期の調査では、認知症の相談窓口を知っている方は31.2%と前回の36.7%から低下しており、とくに裏磐梯地区は20.6%と他地区より低い状況です。認知症高齢者の日常生活自立度Ⅱ以上の方は3年間で132人から161人へと22%増加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w:t>
      </w:r>
    </w:p>
    <w:p>
      <w:pPr>
        <w:pStyle w:val="ListParagraph"/>
        <w:numPr>
          <w:ilvl w:val="0"/>
          <w:numId w:val="2"/>
        </w:numPr>
        <w:spacing w:after="60" w:line="300"/>
      </w:pPr>
      <w:r>
        <w:rPr>
          <w:rFonts w:ascii="游明朝" w:cs="游明朝" w:eastAsia="游明朝" w:hAnsi="游明朝"/>
          <w:sz w:val="21"/>
          <w:szCs w:val="21"/>
        </w:rPr>
        <w:t xml:space="preserve">認知症サポーターを活用した地域支援体制を構築し、社会参加を支援します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チームオレンジ・見守り体制の整備を検討します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生活支援コーディネーターが配置され、地域ケア会議への参加により20点を得ています。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将来人口</w:t>
      </w:r>
    </w:p>
    <w:p>
      <w:pPr>
        <w:spacing w:after="120" w:line="300"/>
      </w:pPr>
      <w:r>
        <w:rPr>
          <w:rFonts w:ascii="游明朝" w:cs="游明朝" w:eastAsia="游明朝" w:hAnsi="游明朝"/>
          <w:sz w:val="21"/>
          <w:szCs w:val="21"/>
        </w:rPr>
        <w:t xml:space="preserve">国立社会保障・人口問題研究所「日本の地域別将来推計人口」を用います。5年刻みの推計値であるため、各年度の値は線形補間により算出します。</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将来推計人口は国勢調査を基礎とするのに対し、介護保険の第1号被保険者数は住民基本台帳を基礎とします。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第1号被保険者数を実績より6.6%少なく見込む結果となりました。本計画では、直近実績と将来推計人口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年齢階級別の認定率を用いて算定します。第9期計画では合計での検証のみであったため、要支援1が36%過少、要介護4が39%過大という乖離が生じても把握できませんでした。本計画では要介護度別に算定し、毎年度検証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編集注記：国の基本指針および介護保険事業計画作成支援ツール（推計ワークシート）の提供を受けたうえで、正式な推計を行います。以下5-2から5-7は、それらに基づき算定します。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2059"/>
        <w:gridCol w:w="243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参考として、年齢階級別認定率を令和7年度末の水準で固定した場合の試算を示します。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認定率を据え置いた場合でも、後期高齢者の割合が高まることにより、認定者数は214人から230人へと16人（7.5%）増加します。第1号被保険者数は1,015人から990人へと減少するにもかかわらず、認定者数は増加する見通し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参考試算です。本村の認定率は令和2年3月末から令和8年3月末までの6年間で年平均0.62ポイント上昇しており、この傾向が続く場合は認定者数はさらに増加します。正式な推計は要介護度別に、国の推計ワークシートを用い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人員配置基準を弾力化した類型。活用の意向により定める</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村が事業としてサービスを提供する仕組み。活用の意向により定める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理由を整理したうえで委員会にお示しします。全国の四分位の値はツールの出力に併載されるため、受領前に本村の値を判定することはできません。</w:t>
      </w:r>
    </w:p>
    <w:p>
      <w:pPr>
        <w:spacing w:after="100" w:line="300"/>
      </w:pPr>
      <w:r>
        <w:rPr>
          <w:rFonts w:ascii="游ゴシック" w:cs="游ゴシック" w:eastAsia="游ゴシック" w:hAnsi="游ゴシック"/>
          <w:b/>
          <w:bCs/>
          <w:color w:val="2E75B6"/>
          <w:sz w:val="21"/>
          <w:szCs w:val="21"/>
        </w:rPr>
        <w:t xml:space="preserve">(6)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るため、村の給付実績の提供を受けて分離します。要支援1・2の在宅サービス受給者は令和7年度で48.3人／月であり、在宅サービス受給者全体の43%を占めます。本村は要支援1の認定者が6年間で3倍に増えているため、予防給付の見込量の設定がとくに重要になります。</w:t>
      </w:r>
    </w:p>
    <w:p>
      <w:pPr>
        <w:spacing w:after="100" w:line="300"/>
      </w:pPr>
      <w:r>
        <w:rPr>
          <w:rFonts w:ascii="游ゴシック" w:cs="游ゴシック" w:eastAsia="游ゴシック" w:hAnsi="游ゴシック"/>
          <w:b/>
          <w:bCs/>
          <w:color w:val="2E75B6"/>
          <w:sz w:val="21"/>
          <w:szCs w:val="21"/>
        </w:rPr>
        <w:t xml:space="preserve">(7)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第2回策定委員会にお諮りします（施策3-2）。</w:t>
      </w:r>
    </w:p>
    <w:p>
      <w:pPr>
        <w:spacing w:after="100" w:line="300"/>
      </w:pPr>
      <w:r>
        <w:rPr>
          <w:rFonts w:ascii="游ゴシック" w:cs="游ゴシック" w:eastAsia="游ゴシック" w:hAnsi="游ゴシック"/>
          <w:b/>
          <w:bCs/>
          <w:color w:val="2E75B6"/>
          <w:sz w:val="21"/>
          <w:szCs w:val="21"/>
        </w:rPr>
        <w:t xml:space="preserve">(8)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居宅介護支援と介護予防支援は、「見える化」システムでは合算した給付費のみが把握できます。人数は村の給付実績の提供を受けて記入します。在宅サービス受給者数（112.6人／月）に近い水準になる見込みで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編集注記：村から事業別の実績（資料提供確認依頼書 管理番号25〜39）の提供を受けて記入します。訪問型サービスA〜D・通所型サービスA〜Cは実績がありませんが、施策1-2で創設を検討することとしているため、実施する場合は見込量に計上します。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あり、介護給付費と予防給付費への分離は村の給付実績の提供後に行い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どの前提がどれだけ保険料に効くかを先に示します。分母は所得段階別加入割合補正後被保険者数2,864人（3年計）×12か月×予定収納率99.5%＝34,201人・月です。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編集注記：上表は令和5年度決算を基礎とした暫定値です。令和6年度・令和7年度の決算と基金残高の提供を受けて確定します。算出は scripts/estimate_premium.py により、data/第10期_保険料感応度.csv に出力しています。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編集注記：算出は scripts/estimate_premium.py により、data/第10期_保険料パターン.csv に出力しています。令和6年度・令和7年度の決算および基金残高の提供を受けて確定します。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2059"/>
        <w:gridCol w:w="206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全件点検の継続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年間の点検件数を設定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4帳票の全件点検を継続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仕組みの検討</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村内に該当施設がないため対象外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したがって中長期の保険料は、給付費の抑制ではなく、第1号被保険者数の減少と国の負担割合の改定によって決まる度合いが大きくなります。本計画では、αを複数置いた幅として示します。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受給者数以下の行は、5-4の受給率と5-7の算定の構造により算定できます。令和6年度・令和7年度の決算の提供を受けて基準年度の水準を確定したうえで算出します。中長期の推計は報酬改定・制度改正・供給制約を織り込まない参考値であることを明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検証において、評価と改善の仕組みが十分でなかったことが確認されたため、本計画では次のとおり具体的な方法を定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2059"/>
        <w:gridCol w:w="1873"/>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現状値（令和5年度）</w:t>
            </w:r>
          </w:p>
        </w:tc>
        <w:tc>
          <w:tcPr>
            <w:tcW w:type="dxa" w:w="187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編集注記：目標値は、福島県平均・全国平均の提供を受けたうえで設定します。水準の妥当性を示すための比較対象が必要なためです。また第4章の各施策に掲げた指標もあわせて管理します。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ad8f680faac79d28b29185476fc022851e507d95.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2026-09-12T02:29:58.294Z</dcterms:created>
  <dcterms:modified xsi:type="dcterms:W3CDTF">2026-09-12T02:29:58.295Z</dcterms:modified>
</cp:coreProperties>
</file>

<file path=docProps/custom.xml><?xml version="1.0" encoding="utf-8"?>
<Properties xmlns="http://schemas.openxmlformats.org/officeDocument/2006/custom-properties" xmlns:vt="http://schemas.openxmlformats.org/officeDocument/2006/docPropsVTypes"/>
</file>