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小野町高齢者保健福祉計画・第10期介護保険事業計画</w:t>
      </w:r>
    </w:p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おのまち障がい者計画・第4期障がい児福祉計画・第8期障がい福祉計画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法定記載事項チェック（条文単位・現物照合）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令和8年10月15日</w:t>
      </w:r>
    </w:p>
    <w:p>
      <w:pPr>
        <w:spacing w:after="120"/>
        <w:jc w:val="center"/>
      </w:pPr>
      <w:r>
        <w:rPr>
          <w:rFonts w:ascii="游ゴシック" w:hAnsi="游ゴシック" w:eastAsia="游ゴシック"/>
          <w:b w:val="0"/>
          <w:i w:val="0"/>
          <w:sz w:val="26"/>
        </w:rPr>
        <w:t>ビズアップ公共コンサルティング株式会社</w:t>
      </w:r>
    </w:p>
    <w:p>
      <w:r>
        <w:br w:type="page"/>
      </w:r>
    </w:p>
    <w:p>
      <w:pPr>
        <w:spacing w:after="28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30"/>
        </w:rPr>
        <w:t>目　次</w:t>
      </w:r>
    </w:p>
    <w:p>
      <w:pPr>
        <w:spacing w:after="200"/>
        <w:jc w:val="center"/>
      </w:pPr>
      <w:r>
        <w:rPr>
          <w:rFonts w:ascii="游ゴシック" w:hAnsi="游ゴシック" w:eastAsia="游ゴシック"/>
          <w:b w:val="0"/>
          <w:i w:val="0"/>
          <w:sz w:val="18"/>
        </w:rPr>
        <w:t>各行をクリックすると本文へ移動します。ページ番号はWordで開いた時点で更新されます</w:t>
      </w:r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1">
        <w:r>
          <w:rPr>
            <w:rFonts w:ascii="游ゴシック" w:hAnsi="游ゴシック" w:eastAsia="游ゴシック"/>
            <w:b/>
            <w:sz w:val="22"/>
          </w:rPr>
          <w:t xml:space="preserve">1　本書の位置づけ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_Toc_001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2">
        <w:r>
          <w:rPr>
            <w:rFonts w:ascii="游ゴシック" w:hAnsi="游ゴシック" w:eastAsia="游ゴシック"/>
            <w:sz w:val="20"/>
          </w:rPr>
          <w:t xml:space="preserve">1-1　判定の決まり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_Toc_002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3">
        <w:r>
          <w:rPr>
            <w:rFonts w:ascii="游ゴシック" w:hAnsi="游ゴシック" w:eastAsia="游ゴシック"/>
            <w:b/>
            <w:sz w:val="22"/>
          </w:rPr>
          <w:t xml:space="preserve">2　高齢者計画（介護保険法・老人福祉法・認知症基本法）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_Toc_003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4">
        <w:r>
          <w:rPr>
            <w:rFonts w:ascii="游ゴシック" w:hAnsi="游ゴシック" w:eastAsia="游ゴシック"/>
            <w:b/>
            <w:sz w:val="22"/>
          </w:rPr>
          <w:t xml:space="preserve">3　障がい計画（障害者総合支援法・児童福祉法・障害者基本法）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_Toc_004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20" w:after="20" w:line="252" w:lineRule="auto"/>
        <w:ind w:left="0"/>
      </w:pPr>
      <w:hyperlink w:anchor="_Toc_005">
        <w:r>
          <w:rPr>
            <w:rFonts w:ascii="游ゴシック" w:hAnsi="游ゴシック" w:eastAsia="游ゴシック"/>
            <w:b/>
            <w:sz w:val="22"/>
          </w:rPr>
          <w:t xml:space="preserve">4　手当てが要るもの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_Toc_005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b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6">
        <w:r>
          <w:rPr>
            <w:rFonts w:ascii="游ゴシック" w:hAnsi="游ゴシック" w:eastAsia="游ゴシック"/>
            <w:sz w:val="20"/>
          </w:rPr>
          <w:t xml:space="preserve">4-1　老人福祉事業の量の目標（老人福祉法第20条の8第2項・義務）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_Toc_006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tabs>
          <w:tab w:pos="9751" w:val="right" w:leader="dot"/>
        </w:tabs>
        <w:spacing w:before="0" w:after="0" w:line="252" w:lineRule="auto"/>
        <w:ind w:left="510"/>
      </w:pPr>
      <w:hyperlink w:anchor="_Toc_007">
        <w:r>
          <w:rPr>
            <w:rFonts w:ascii="游ゴシック" w:hAnsi="游ゴシック" w:eastAsia="游ゴシック"/>
            <w:sz w:val="20"/>
          </w:rPr>
          <w:t xml:space="preserve">4-2　そのほか</w:t>
        </w:r>
        <w:r>
          <w:rPr>
            <w:rFonts w:ascii="游ゴシック" w:hAnsi="游ゴシック" w:eastAsia="游ゴシック"/>
            <w:sz w:val="20"/>
          </w:rPr>
          <w:tab/>
        </w:r>
        <w:r>
          <w:rPr>
            <w:rFonts w:ascii="游ゴシック" w:hAnsi="游ゴシック" w:eastAsia="游ゴシック"/>
            <w:sz w:val="20"/>
          </w:rPr>
          <w:fldChar w:fldCharType="begin"/>
        </w:r>
        <w:r>
          <w:rPr>
            <w:rFonts w:ascii="游ゴシック" w:hAnsi="游ゴシック" w:eastAsia="游ゴシック"/>
            <w:sz w:val="20"/>
          </w:rPr>
          <w:instrText xml:space="preserve"> PAGEREF _Toc_007 \h </w:instrText>
        </w:r>
        <w:r>
          <w:rPr>
            <w:rFonts w:ascii="游ゴシック" w:hAnsi="游ゴシック" w:eastAsia="游ゴシック"/>
            <w:sz w:val="20"/>
          </w:rPr>
          <w:fldChar w:fldCharType="separate"/>
        </w:r>
        <w:r>
          <w:rPr>
            <w:rFonts w:ascii="游ゴシック" w:hAnsi="游ゴシック" w:eastAsia="游ゴシック"/>
            <w:sz w:val="20"/>
          </w:rPr>
          <w:t xml:space="preserve">－</w:t>
        </w:r>
        <w:r>
          <w:rPr>
            <w:rFonts w:ascii="游ゴシック" w:hAnsi="游ゴシック" w:eastAsia="游ゴシック"/>
            <w:sz w:val="20"/>
          </w:rPr>
          <w:fldChar w:fldCharType="end"/>
        </w:r>
      </w:hyperlink>
    </w:p>
    <w:p>
      <w:pPr>
        <w:sectPr>
          <w:headerReference w:type="default" r:id="rId9"/>
          <w:footerReference w:type="default" r:id="rId10"/>
          <w:pgSz w:w="11906" w:h="16838"/>
          <w:pgMar w:top="1134" w:right="1077" w:bottom="1134" w:left="1077" w:header="709" w:footer="709" w:gutter="0"/>
          <w:cols w:space="720"/>
          <w:docGrid w:linePitch="360"/>
        </w:sectPr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本書の位置づけ</w:t>
      </w:r>
      <w:bookmarkEnd w:id="101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両計画が、根拠法令が求める記載事項を満たしているかを、条・項・号ごとに確かめたものです。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出来上がった docx を開いて語を数え、自動で判定しています。</w:t>
      </w:r>
      <w:r>
        <w:rPr>
          <w:rFonts w:ascii="游ゴシック" w:hAnsi="游ゴシック" w:eastAsia="游ゴシック"/>
          <w:b w:val="0"/>
          <w:i w:val="0"/>
          <w:sz w:val="21"/>
        </w:rPr>
        <w:t>生成器のソースではなく現物を見ています。判定に用いた語は表に示していますので、</w:t>
      </w:r>
      <w:r>
        <w:rPr>
          <w:rFonts w:ascii="游ゴシック" w:hAnsi="游ゴシック" w:eastAsia="游ゴシック"/>
          <w:b/>
          <w:i w:val="0"/>
          <w:sz w:val="21"/>
        </w:rPr>
        <w:t>検算できます。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【表1】点検した現物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928"/>
        <w:gridCol w:w="7824"/>
      </w:tblGrid>
      <w:tr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対象</w:t>
            </w:r>
          </w:p>
        </w:tc>
        <w:tc>
          <w:tcPr>
            <w:tcW w:type="dxa" w:w="78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ファイル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高齢者計画</w:t>
            </w:r>
          </w:p>
        </w:tc>
        <w:tc>
          <w:tcPr>
            <w:tcW w:type="dxa" w:w="782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小野町高齢者保健福祉計画_第10期介護保険事業計画_素案_第11版_20261015.docx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障がい計画</w:t>
            </w:r>
          </w:p>
        </w:tc>
        <w:tc>
          <w:tcPr>
            <w:tcW w:type="dxa" w:w="782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おのまち障がい者計画_第4期障がい児福祉計画_第8期障がい福祉計画_素案_第1版_20261015.docx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25"/>
        </w:rPr>
        <w:t>1-1　判定の決まり</w:t>
      </w:r>
      <w:bookmarkEnd w:id="102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【表2】判定の決まり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134"/>
        <w:gridCol w:w="8617"/>
      </w:tblGrid>
      <w:tr>
        <w:tc>
          <w:tcPr>
            <w:tcW w:type="dxa" w:w="113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記号</w:t>
            </w:r>
          </w:p>
        </w:tc>
        <w:tc>
          <w:tcPr>
            <w:tcW w:type="dxa" w:w="861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意味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861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判定に用いた語が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すべて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本文にある</w:t>
            </w:r>
          </w:p>
        </w:tc>
      </w:tr>
      <w:tr>
        <w:tc>
          <w:tcPr>
            <w:tcW w:type="dxa" w:w="113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△</w:t>
            </w:r>
          </w:p>
        </w:tc>
        <w:tc>
          <w:tcPr>
            <w:tcW w:type="dxa" w:w="861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一部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がある。節はあるが語が足りない可能性がある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✕</w:t>
            </w:r>
          </w:p>
        </w:tc>
        <w:tc>
          <w:tcPr>
            <w:tcW w:type="dxa" w:w="861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どれもない。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 記載が欠けている疑いが強い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語の有無は記載の有無そのものではありません。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△・✕は「</w:t>
      </w:r>
      <w:r>
        <w:rPr>
          <w:rFonts w:ascii="游ゴシック" w:hAnsi="游ゴシック" w:eastAsia="游ゴシック"/>
          <w:b/>
          <w:i w:val="0"/>
          <w:sz w:val="21"/>
        </w:rPr>
        <w:t>本文を見て確かめる</w:t>
      </w:r>
      <w:r>
        <w:rPr>
          <w:rFonts w:ascii="游ゴシック" w:hAnsi="游ゴシック" w:eastAsia="游ゴシック"/>
          <w:b w:val="0"/>
          <w:i w:val="0"/>
          <w:sz w:val="21"/>
        </w:rPr>
        <w:t>」の合図であり、○は「</w:t>
      </w:r>
      <w:r>
        <w:rPr>
          <w:rFonts w:ascii="游ゴシック" w:hAnsi="游ゴシック" w:eastAsia="游ゴシック"/>
          <w:b/>
          <w:i w:val="0"/>
          <w:sz w:val="21"/>
        </w:rPr>
        <w:t>少なくとも語はある</w:t>
      </w:r>
      <w:r>
        <w:rPr>
          <w:rFonts w:ascii="游ゴシック" w:hAnsi="游ゴシック" w:eastAsia="游ゴシック"/>
          <w:b w:val="0"/>
          <w:i w:val="0"/>
          <w:sz w:val="21"/>
        </w:rPr>
        <w:t>」という意味です。本書は目視の代わりではなく、目視すべき箇所を絞るためのものです。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改正後の条文で見ています。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令和8年法律第51号の施行日は</w:t>
      </w:r>
      <w:r>
        <w:rPr>
          <w:rFonts w:ascii="游ゴシック" w:hAnsi="游ゴシック" w:eastAsia="游ゴシック"/>
          <w:b/>
          <w:i w:val="0"/>
          <w:sz w:val="21"/>
        </w:rPr>
        <w:t>令和9年4月1日</w:t>
      </w:r>
      <w:r>
        <w:rPr>
          <w:rFonts w:ascii="游ゴシック" w:hAnsi="游ゴシック" w:eastAsia="游ゴシック"/>
          <w:b w:val="0"/>
          <w:i w:val="0"/>
          <w:sz w:val="21"/>
        </w:rPr>
        <w:t>で、</w:t>
      </w:r>
      <w:r>
        <w:rPr>
          <w:rFonts w:ascii="游ゴシック" w:hAnsi="游ゴシック" w:eastAsia="游ゴシック"/>
          <w:b/>
          <w:i w:val="0"/>
          <w:sz w:val="21"/>
        </w:rPr>
        <w:t>本計画の期間の初日</w:t>
      </w:r>
      <w:r>
        <w:rPr>
          <w:rFonts w:ascii="游ゴシック" w:hAnsi="游ゴシック" w:eastAsia="游ゴシック"/>
          <w:b w:val="0"/>
          <w:i w:val="0"/>
          <w:sz w:val="21"/>
        </w:rPr>
        <w:t>に当たります。条文は新旧対照条文（厚生労働省・全353頁）により確認しました。</w:t>
      </w: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2　高齢者計画（介護保険法・老人福祉法・認知症基本法）</w:t>
      </w:r>
      <w:bookmarkEnd w:id="103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【表3】高齢者計画　法定記載事項チェック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701"/>
        <w:gridCol w:w="2835"/>
        <w:gridCol w:w="680"/>
        <w:gridCol w:w="680"/>
        <w:gridCol w:w="1701"/>
        <w:gridCol w:w="2154"/>
      </w:tblGrid>
      <w:tr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条項</w:t>
            </w:r>
          </w:p>
        </w:tc>
        <w:tc>
          <w:tcPr>
            <w:tcW w:type="dxa" w:w="283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記載事項</w:t>
            </w:r>
          </w:p>
        </w:tc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義務</w:t>
            </w:r>
          </w:p>
        </w:tc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本計画での箇所</w:t>
            </w:r>
          </w:p>
        </w:tc>
        <w:tc>
          <w:tcPr>
            <w:tcW w:type="dxa" w:w="21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備考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第117条第1項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基本指針に即した3年一期の計画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第1章2・3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第117条第2項第1号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区域ごとの各年度の介護給付等対象サービスの種類ごとの量の見込み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第1章5・第6章2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第117条第2項第1号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地域密着型3サービスの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必要利用定員総数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第6章8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第117条第2項第2号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各年度における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地域支援事業の量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の見込み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第6章4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第117条第2項第3号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サービスの種類ごとの量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及び地域支援事業の量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の中長期的な推計【新設】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第6章11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第117条第2項第4号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サービス提供体制の確保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及び地域支援事業の実施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に関し、中長期的な観点から市町村が取り組むべき施策【新設】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第6章12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第117条第2項第5号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自立支援・介護予防・重度化防止・給付適正化に関し市町村が取り組むべき施策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第5章・第6章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第117条第2項第6号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前号の施策の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目標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第5章各施策・第7章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第117条第3項第3号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費用の額・保険料の水準に関する中長期的な推計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努力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第6章11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第117条第3項第4号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サービス提供の生産性向上・従事者の確保・経営基盤【新設】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努力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第5章 基本目標3②・第6章12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第117条第3項第4号の2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地域支援事業に従事する者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の確保及び資質の向上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努力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第6章12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第117条第3項第5号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地域支援事業の実施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における生産性の向上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努力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第6章12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第117条第3項第9号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区域ごとの有料老人ホーム・登録住宅のそれぞれの入居定員総数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努力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第2章5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第117条第5項【新設】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住まいの入居定員総数と医療介護連携の状況を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勘案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第2章5・第6章2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第117条（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項番号は確認中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医療計画との整合性の確保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第1章3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第117条（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項番号は確認中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市町村老人福祉計画と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一体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のものとして作成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第1章2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第117条（改正後第9項）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第2項第5号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の施策の実施状況及び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同項第6号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の目標の達成状況に関する調査及び分析・評価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第7章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第117条（改正後第14項）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計画の策定・変更にあたり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あらかじめ都道府県の意見を聴く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第1章・工程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老福法第20条の8第2項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区域において確保すべき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老人福祉事業の量の目標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第6章に新設が要る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認知症基本法第13条第1項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市町村認知症施策推進計画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努力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第1章2・第5章 基本目標2③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認知症基本法第13条第3項（準用する第12条第3項）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認知症の人及び家族等の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意見を聴く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努力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第5章 基本目標2③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○21件／△・✕0件（うち義務0件）です。</w:t>
      </w: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3　障がい計画（障害者総合支援法・児童福祉法・障害者基本法）</w:t>
      </w:r>
      <w:bookmarkEnd w:id="104"/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【表4】障がい計画　法定記載事項チェック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701"/>
        <w:gridCol w:w="2835"/>
        <w:gridCol w:w="680"/>
        <w:gridCol w:w="680"/>
        <w:gridCol w:w="1701"/>
        <w:gridCol w:w="2154"/>
      </w:tblGrid>
      <w:tr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条項</w:t>
            </w:r>
          </w:p>
        </w:tc>
        <w:tc>
          <w:tcPr>
            <w:tcW w:type="dxa" w:w="283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記載事項</w:t>
            </w:r>
          </w:p>
        </w:tc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義務</w:t>
            </w:r>
          </w:p>
        </w:tc>
        <w:tc>
          <w:tcPr>
            <w:tcW w:type="dxa" w:w="680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判定</w:t>
            </w:r>
          </w:p>
        </w:tc>
        <w:tc>
          <w:tcPr>
            <w:tcW w:type="dxa" w:w="17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本計画での箇所</w:t>
            </w:r>
          </w:p>
        </w:tc>
        <w:tc>
          <w:tcPr>
            <w:tcW w:type="dxa" w:w="21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備考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総合支援法第88条第1項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市町村障害福祉計画を定める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第1部第1章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総合支援法第88条第2項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障害福祉サービス等の種類ごとの必要な量の見込み・確保のための方策・成果目標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第3部第1章・第2章・第3章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総合支援法第88条第3項第3号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障害福祉サービス・相談支援の生産性向上・従事者の確保・経営基盤【新設】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努力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第1部第1章4-2・第3部第3章4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総合支援法第88条第3項第4号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地域生活支援事業に従事する者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の確保及び資質の向上【新設】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努力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総合支援法第88条第3項第5号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地域生活支援事業の実施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における生産性の向上【新設】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努力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同上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総合支援法第88条第9項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支援協議会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の意見を聴く（設置しているとき）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努力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第1部第1章4-2・第4部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総合支援法第88条（調和）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市町村障害者計画・市町村地域福祉計画その他と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調和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第1部第1章4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児福法第33条の20第2項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障害児通所支援等の種類ごとの必要な見込量・確保のための方策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第3部第2章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児福法第33条の20第3項第3号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障害児通所支援・障害児相談支援の生産性向上等【新設】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努力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第1部第1章4-2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障害者基本法第11条第3項</w:t>
            </w:r>
          </w:p>
        </w:tc>
        <w:tc>
          <w:tcPr>
            <w:tcW w:type="dxa" w:w="283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市町村障害者計画（障害者基本計画・都道府県計画を基本とする）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義務</w:t>
            </w:r>
          </w:p>
        </w:tc>
        <w:tc>
          <w:tcPr>
            <w:tcW w:type="dxa" w:w="680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第1部第1章</w:t>
            </w:r>
          </w:p>
        </w:tc>
        <w:tc>
          <w:tcPr>
            <w:tcW w:type="dxa" w:w="215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医療的ケア児支援法（令和8年法律第77号）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医療的ケア者（18歳以上）・重症心身障害者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を支援対象に追加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○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第1部第1章4-2・第3部第1章⑧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―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○11件／△・✕0件です。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</w:t>
      </w:r>
      <w:r>
        <w:rPr>
          <w:rFonts w:ascii="游ゴシック" w:hAnsi="游ゴシック" w:eastAsia="游ゴシック"/>
          <w:b/>
          <w:i w:val="0"/>
          <w:sz w:val="21"/>
        </w:rPr>
        <w:t>障がい計画も素案（第1版）に展開したため、骨子案ではなく素案本文を見ています。</w:t>
      </w:r>
    </w:p>
    <w:p>
      <w:pPr>
        <w:pStyle w:val="Heading1"/>
        <w:keepNext/>
        <w:spacing w:before="240" w:after="100"/>
      </w:pPr>
      <w:bookmarkStart w:id="105" w:name="_Toc_005"/>
      <w:r>
        <w:rPr>
          <w:rFonts w:ascii="游ゴシック" w:hAnsi="游ゴシック" w:eastAsia="游ゴシック"/>
          <w:b/>
          <w:i w:val="0"/>
          <w:color w:val="2E74B5"/>
          <w:sz w:val="30"/>
        </w:rPr>
        <w:t>4　手当てが要るもの</w:t>
      </w:r>
      <w:bookmarkEnd w:id="105"/>
    </w:p>
    <w:p>
      <w:pPr>
        <w:pStyle w:val="Heading2"/>
        <w:keepNext/>
        <w:spacing w:before="180" w:after="100"/>
      </w:pPr>
      <w:bookmarkStart w:id="106" w:name="_Toc_006"/>
      <w:r>
        <w:rPr>
          <w:rFonts w:ascii="游ゴシック" w:hAnsi="游ゴシック" w:eastAsia="游ゴシック"/>
          <w:b/>
          <w:i w:val="0"/>
          <w:color w:val="2E74B5"/>
          <w:sz w:val="25"/>
        </w:rPr>
        <w:t>4-1　老人福祉事業の量の目標（老人福祉法第20条の8第2項・義務）</w:t>
      </w:r>
      <w:bookmarkEnd w:id="106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本計画に、この名で掲げた節がありません。</w:t>
      </w:r>
      <w:r>
        <w:rPr>
          <w:rFonts w:ascii="游ゴシック" w:hAnsi="游ゴシック" w:eastAsia="游ゴシック"/>
          <w:b w:val="0"/>
          <w:i w:val="0"/>
          <w:sz w:val="21"/>
        </w:rPr>
        <w:t>同項は「当該市町村の区域において確保すべき</w:t>
      </w:r>
      <w:r>
        <w:rPr>
          <w:rFonts w:ascii="游ゴシック" w:hAnsi="游ゴシック" w:eastAsia="游ゴシック"/>
          <w:b/>
          <w:i w:val="0"/>
          <w:sz w:val="21"/>
        </w:rPr>
        <w:t>老人福祉事業の量の目標</w:t>
      </w:r>
      <w:r>
        <w:rPr>
          <w:rFonts w:ascii="游ゴシック" w:hAnsi="游ゴシック" w:eastAsia="游ゴシック"/>
          <w:b w:val="0"/>
          <w:i w:val="0"/>
          <w:sz w:val="21"/>
        </w:rPr>
        <w:t>」を定めることを</w:t>
      </w:r>
      <w:r>
        <w:rPr>
          <w:rFonts w:ascii="游ゴシック" w:hAnsi="游ゴシック" w:eastAsia="游ゴシック"/>
          <w:b/>
          <w:i w:val="0"/>
          <w:sz w:val="21"/>
        </w:rPr>
        <w:t>義務</w:t>
      </w:r>
      <w:r>
        <w:rPr>
          <w:rFonts w:ascii="游ゴシック" w:hAnsi="游ゴシック" w:eastAsia="游ゴシック"/>
          <w:b w:val="0"/>
          <w:i w:val="0"/>
          <w:sz w:val="21"/>
        </w:rPr>
        <w:t>としています。</w:t>
      </w:r>
      <w:r>
        <w:rPr>
          <w:rFonts w:ascii="游ゴシック" w:hAnsi="游ゴシック" w:eastAsia="游ゴシック"/>
          <w:b/>
          <w:i w:val="0"/>
          <w:sz w:val="21"/>
        </w:rPr>
        <w:t>新旧対照条文で確かめたところ、同条は今回の改正の対象外</w:t>
      </w:r>
      <w:r>
        <w:rPr>
          <w:rFonts w:ascii="游ゴシック" w:hAnsi="游ゴシック" w:eastAsia="游ゴシック"/>
          <w:b w:val="0"/>
          <w:i w:val="0"/>
          <w:sz w:val="21"/>
        </w:rPr>
        <w:t>であり、現行法のまま義務です。</w:t>
      </w: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老人福祉事業は、介護保険の見込量と重なる部分と、重ならない部分があります。</w:t>
      </w:r>
    </w:p>
    <w:p>
      <w:pPr>
        <w:keepNext/>
        <w:spacing w:before="200" w:after="40"/>
      </w:pPr>
      <w:r>
        <w:rPr>
          <w:rFonts w:ascii="游ゴシック" w:hAnsi="游ゴシック" w:eastAsia="游ゴシック"/>
          <w:b/>
          <w:i w:val="0"/>
          <w:color w:val="1F4D78"/>
          <w:sz w:val="22"/>
        </w:rPr>
        <w:t>【表5】老人福祉事業の範囲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928"/>
        <w:gridCol w:w="4195"/>
        <w:gridCol w:w="3628"/>
      </w:tblGrid>
      <w:tr>
        <w:tc>
          <w:tcPr>
            <w:tcW w:type="dxa" w:w="19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区分</w:t>
            </w:r>
          </w:p>
        </w:tc>
        <w:tc>
          <w:tcPr>
            <w:tcW w:type="dxa" w:w="4195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老人福祉法上の事業</w:t>
            </w:r>
          </w:p>
        </w:tc>
        <w:tc>
          <w:tcPr>
            <w:tcW w:type="dxa" w:w="362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介護保険の見込量との関係</w:t>
            </w:r>
          </w:p>
        </w:tc>
      </w:tr>
      <w:tr>
        <w:tc>
          <w:tcPr>
            <w:tcW w:type="dxa" w:w="19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老人居宅生活支援事業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老人居宅介護等事業、老人デイサービス事業、老人短期入所事業、小規模多機能型居宅介護事業、認知症対応型老人共同生活援助事業、複合型サービス福祉事業</w:t>
            </w:r>
          </w:p>
        </w:tc>
        <w:tc>
          <w:tcPr>
            <w:tcW w:type="dxa" w:w="362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第6章2の見込量とほぼ重なる。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同じ数を老人福祉事業の量として掲げられる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老人福祉施設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老人デイサービスセンター、老人短期入所施設、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養護老人ホーム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、特別養護老人ホーム、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軽費老人ホーム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、</w:t>
            </w: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老人福祉センター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、老人介護支援センター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/>
                <w:i w:val="0"/>
                <w:sz w:val="17"/>
              </w:rPr>
              <w:t>養護老人ホーム・軽費老人ホーム・老人福祉センターは介護保険の見込量にない。</w:t>
            </w: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別に量を置く必要がある</w:t>
            </w:r>
          </w:p>
        </w:tc>
      </w:tr>
    </w:tbl>
    <w:p>
      <w:pPr>
        <w:spacing w:after="40"/>
      </w:pPr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したがって、第6章に節を1つ設け、介護保険の見込量から引ける分はそこから引き、養護老人ホーム・軽費老人ホーム・老人福祉センターの分を町に確かめて加える</w:t>
      </w:r>
      <w:r>
        <w:rPr>
          <w:rFonts w:ascii="游ゴシック" w:hAnsi="游ゴシック" w:eastAsia="游ゴシック"/>
          <w:b w:val="0"/>
          <w:i w:val="0"/>
          <w:sz w:val="21"/>
        </w:rPr>
        <w:t>のが筋です。</w:t>
      </w:r>
      <w:r>
        <w:rPr>
          <w:rFonts w:ascii="游ゴシック" w:hAnsi="游ゴシック" w:eastAsia="游ゴシック"/>
          <w:b/>
          <w:i w:val="0"/>
          <w:sz w:val="21"/>
        </w:rPr>
        <w:t>確認事項の一覧に加えます。</w:t>
      </w:r>
    </w:p>
    <w:p>
      <w:pPr>
        <w:pStyle w:val="Heading2"/>
        <w:keepNext/>
        <w:spacing w:before="180" w:after="100"/>
      </w:pPr>
      <w:bookmarkStart w:id="107" w:name="_Toc_007"/>
      <w:r>
        <w:rPr>
          <w:rFonts w:ascii="游ゴシック" w:hAnsi="游ゴシック" w:eastAsia="游ゴシック"/>
          <w:b/>
          <w:i w:val="0"/>
          <w:color w:val="2E74B5"/>
          <w:sz w:val="25"/>
        </w:rPr>
        <w:t>4-2　そのほか</w:t>
      </w:r>
      <w:bookmarkEnd w:id="107"/>
    </w:p>
    <w:p>
      <w:pPr>
        <w:spacing w:before="60" w:after="60"/>
      </w:pPr>
      <w:r>
        <w:rPr>
          <w:rFonts w:ascii="游ゴシック" w:hAnsi="游ゴシック" w:eastAsia="游ゴシック"/>
          <w:b/>
          <w:i w:val="0"/>
          <w:sz w:val="21"/>
        </w:rPr>
        <w:t>△は、節はあるが判定に用いた語が本文にない場合を含みます。</w:t>
      </w:r>
      <w:r>
        <w:rPr>
          <w:rFonts w:ascii="游ゴシック" w:hAnsi="游ゴシック" w:eastAsia="游ゴシック"/>
          <w:b w:val="0"/>
          <w:i w:val="0"/>
          <w:sz w:val="21"/>
        </w:rPr>
        <w:t xml:space="preserve"> 条文の文言をそのまま使っていないだけのこともあるため、</w:t>
      </w:r>
      <w:r>
        <w:rPr>
          <w:rFonts w:ascii="游ゴシック" w:hAnsi="游ゴシック" w:eastAsia="游ゴシック"/>
          <w:b/>
          <w:i w:val="0"/>
          <w:sz w:val="21"/>
        </w:rPr>
        <w:t>1件ずつ本文を見て確かめます。</w:t>
      </w: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※ 条文は厚生労働省「社会福祉法等の一部を改正する法律案　新旧対照条文」（令和8年法律第51号・全353頁）による。</w:t>
      </w:r>
      <w:r>
        <w:rPr>
          <w:rFonts w:ascii="游ゴシック" w:hAnsi="游ゴシック" w:eastAsia="游ゴシック"/>
          <w:b/>
          <w:i w:val="0"/>
          <w:sz w:val="17"/>
        </w:rPr>
        <w:t>老人福祉法第20条の8は同資料において「（略）」であり、今回の改正の対象外であることを確認した。</w:t>
      </w:r>
      <w:r>
        <w:rPr>
          <w:rFonts w:ascii="游ゴシック" w:hAnsi="游ゴシック" w:eastAsia="游ゴシック"/>
          <w:b/>
          <w:i w:val="0"/>
          <w:sz w:val="17"/>
        </w:rPr>
        <w:t>介護保険法第117条の第5項以降の項番号は、改正により1つ繰り下がる。</w:t>
      </w:r>
      <w:r>
        <w:rPr>
          <w:rFonts w:ascii="游ゴシック" w:hAnsi="游ゴシック" w:eastAsia="游ゴシック"/>
          <w:b w:val="0"/>
          <w:i w:val="0"/>
          <w:sz w:val="17"/>
        </w:rPr>
        <w:t>本書は改正後の番号で書いている。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34" w:right="1077" w:bottom="1134" w:left="1077" w:header="709" w:footer="70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  <w:r>
      <w:rPr>
        <w:rFonts w:ascii="游ゴシック" w:hAnsi="游ゴシック" w:eastAsia="游ゴシック"/>
        <w:b w:val="0"/>
        <w:i w:val="0"/>
        <w:sz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</w:r>
    <w:r>
      <w:rPr>
        <w:rFonts w:ascii="游ゴシック" w:hAnsi="游ゴシック" w:eastAsia="游ゴシック"/>
        <w:b w:val="0"/>
        <w:i w:val="0"/>
        <w:sz w:val="18"/>
      </w:rPr>
      <w:t>小野町　法定記載事項チェック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法定記載事項チェック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法定記載事項チェック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