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次に着手するもの（10月16日（金））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町・国・県の回答を待たずに進められる作業は35件・98.0時間分あり、うち33件（90.0時間）が令和8年10月15日までに済んでいます。</w:t>
      </w:r>
      <w:r>
        <w:rPr>
          <w:rFonts w:ascii="游ゴシック" w:hAnsi="游ゴシック" w:eastAsia="游ゴシック"/>
          <w:b w:val="0"/>
          <w:i w:val="0"/>
          <w:sz w:val="21"/>
        </w:rPr>
        <w:t>令和8年10月16日は残り2件のうち1件（6.0時間）に着手します。</w:t>
      </w:r>
    </w:p>
    <w:p>
      <w:pPr>
        <w:spacing w:before="60" w:after="60"/>
      </w:pPr>
      <w:r>
        <w:rPr>
          <w:rFonts w:ascii="游ゴシック" w:hAnsi="游ゴシック" w:eastAsia="游ゴシック"/>
          <w:b/>
          <w:i w:val="0"/>
          <w:sz w:val="21"/>
        </w:rPr>
        <w:t>進捗の乖離を測ったところ、高齢者計画は予定より+11.1ポイント、障がい計画は+0.2ポイントでした。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60.0％</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+11.1pt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57.3％</w:t>
            </w:r>
          </w:p>
        </w:tc>
        <w:tc>
          <w:tcPr>
            <w:tcW w:type="dxa" w:w="1247"/>
            <w:vAlign w:val="center"/>
          </w:tcPr>
          <w:p>
            <w:pPr>
              <w:spacing w:before="20" w:after="20"/>
              <w:jc w:val="right"/>
            </w:pPr>
            <w:r>
              <w:rPr>
                <w:rFonts w:ascii="游ゴシック" w:hAnsi="游ゴシック" w:eastAsia="游ゴシック"/>
                <w:b w:val="0"/>
                <w:i w:val="0"/>
                <w:sz w:val="17"/>
              </w:rPr>
              <w:t>57.4％</w:t>
            </w:r>
          </w:p>
        </w:tc>
        <w:tc>
          <w:tcPr>
            <w:tcW w:type="dxa" w:w="1020"/>
            <w:vAlign w:val="center"/>
          </w:tcPr>
          <w:p>
            <w:pPr>
              <w:spacing w:before="20" w:after="20"/>
              <w:jc w:val="right"/>
            </w:pPr>
            <w:r>
              <w:rPr>
                <w:rFonts w:ascii="游ゴシック" w:hAnsi="游ゴシック" w:eastAsia="游ゴシック"/>
                <w:b w:val="0"/>
                <w:i w:val="0"/>
                <w:sz w:val="17"/>
              </w:rPr>
              <w:t>+0.2pt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高齢者計画は予定を+11.1ポイント上回っています。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一方で障がい計画は+0.2ポイント下回っており、こちらが本業務全体の弱いところです。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49％</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keepNext/>
              <w:spacing w:before="20" w:after="20"/>
            </w:pPr>
            <w:r>
              <w:rPr>
                <w:rFonts w:ascii="游ゴシック" w:hAnsi="游ゴシック" w:eastAsia="游ゴシック"/>
                <w:b w:val="0"/>
                <w:i w:val="0"/>
                <w:sz w:val="17"/>
              </w:rPr>
              <w:t>3-2</w:t>
            </w:r>
          </w:p>
        </w:tc>
        <w:tc>
          <w:tcPr>
            <w:tcW w:type="dxa" w:w="1928"/>
            <w:vAlign w:val="center"/>
          </w:tcPr>
          <w:p>
            <w:pPr>
              <w:keepNext/>
              <w:spacing w:before="20" w:after="20"/>
            </w:pPr>
            <w:r>
              <w:rPr>
                <w:rFonts w:ascii="游ゴシック" w:hAnsi="游ゴシック" w:eastAsia="游ゴシック"/>
                <w:b w:val="0"/>
                <w:i w:val="0"/>
                <w:sz w:val="17"/>
              </w:rPr>
              <w:t>町の給付実績との突合</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50％</w:t>
            </w:r>
          </w:p>
        </w:tc>
        <w:tc>
          <w:tcPr>
            <w:tcW w:type="dxa" w:w="624"/>
            <w:vAlign w:val="center"/>
          </w:tcPr>
          <w:p>
            <w:pPr>
              <w:keepNext/>
              <w:spacing w:before="20" w:after="20"/>
              <w:jc w:val="right"/>
            </w:pPr>
            <w:r>
              <w:rPr>
                <w:rFonts w:ascii="游ゴシック" w:hAnsi="游ゴシック" w:eastAsia="游ゴシック"/>
                <w:b w:val="0"/>
                <w:i w:val="0"/>
                <w:sz w:val="17"/>
              </w:rPr>
              <w:t>73％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障がい計画（10件）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5-2</w:t>
            </w:r>
          </w:p>
        </w:tc>
        <w:tc>
          <w:tcPr>
            <w:tcW w:type="dxa" w:w="1928"/>
            <w:vAlign w:val="center"/>
          </w:tcPr>
          <w:p>
            <w:pPr>
              <w:spacing w:before="20" w:after="20"/>
            </w:pPr>
            <w:r>
              <w:rPr>
                <w:rFonts w:ascii="游ゴシック" w:hAnsi="游ゴシック" w:eastAsia="游ゴシック"/>
                <w:b w:val="0"/>
                <w:i w:val="0"/>
                <w:sz w:val="17"/>
              </w:rPr>
              <w:t>手帳所持者・サービス利用状況の分析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支給決定量と実利用量の別、障害支援区分別の状況（依頼票D7）。精神障がい者の内数が総数を超える箇所があり原データの確認が必要</w:t>
            </w:r>
          </w:p>
        </w:tc>
      </w:tr>
      <w:tr>
        <w:tc>
          <w:tcPr>
            <w:tcW w:type="dxa" w:w="510"/>
            <w:vAlign w:val="center"/>
          </w:tcPr>
          <w:p>
            <w:pPr>
              <w:keepNext/>
              <w:spacing w:before="20" w:after="20"/>
            </w:pPr>
            <w:r>
              <w:rPr>
                <w:rFonts w:ascii="游ゴシック" w:hAnsi="游ゴシック" w:eastAsia="游ゴシック"/>
                <w:b w:val="0"/>
                <w:i w:val="0"/>
                <w:sz w:val="17"/>
              </w:rPr>
              <w:t>5-1</w:t>
            </w:r>
          </w:p>
        </w:tc>
        <w:tc>
          <w:tcPr>
            <w:tcW w:type="dxa" w:w="1928"/>
            <w:vAlign w:val="center"/>
          </w:tcPr>
          <w:p>
            <w:pPr>
              <w:keepNext/>
              <w:spacing w:before="20" w:after="20"/>
            </w:pPr>
            <w:r>
              <w:rPr>
                <w:rFonts w:ascii="游ゴシック" w:hAnsi="游ゴシック" w:eastAsia="游ゴシック"/>
                <w:b w:val="0"/>
                <w:i w:val="0"/>
                <w:sz w:val="17"/>
              </w:rPr>
              <w:t>現行計画の取組み状況の検証</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70％</w:t>
            </w:r>
          </w:p>
        </w:tc>
        <w:tc>
          <w:tcPr>
            <w:tcW w:type="dxa" w:w="624"/>
            <w:vAlign w:val="center"/>
          </w:tcPr>
          <w:p>
            <w:pPr>
              <w:keepNext/>
              <w:spacing w:before="20" w:after="20"/>
              <w:jc w:val="right"/>
            </w:pPr>
            <w:r>
              <w:rPr>
                <w:rFonts w:ascii="游ゴシック" w:hAnsi="游ゴシック" w:eastAsia="游ゴシック"/>
                <w:b w:val="0"/>
                <w:i w:val="0"/>
                <w:sz w:val="17"/>
              </w:rPr>
              <w:t>82％</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前回計画31項目の令和8年度末の実績（依頼票D6）。</w:t>
            </w:r>
            <w:r>
              <w:rPr>
                <w:rFonts w:ascii="游ゴシック" w:hAnsi="游ゴシック" w:eastAsia="游ゴシック"/>
                <w:b w:val="0"/>
                <w:i w:val="0"/>
                <w:sz w:val="17"/>
              </w:rPr>
              <w:t>目標値は受領済みのため、残るのは実績のみ</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障がい計画の遅れ10件は、すべて町からの3点に連なっています。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町・国・県の回答を待たずに進められる作業は35件、合計98.0時間（1日8.0時間として約12.2日）です。</w:t>
      </w:r>
      <w:r>
        <w:rPr>
          <w:rFonts w:ascii="游ゴシック" w:hAnsi="游ゴシック" w:eastAsia="游ゴシック"/>
          <w:b/>
          <w:i w:val="0"/>
          <w:sz w:val="21"/>
        </w:rPr>
        <w:t>うち33件・90.0時間は令和8年10月15日までに済みました。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体裁37件・紙面18件の対象に加え済みで、残るのは図の追加</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次に着手するもの（10月16日（金））</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10月19日（月）</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T35</w:t>
            </w:r>
          </w:p>
        </w:tc>
        <w:tc>
          <w:tcPr>
            <w:tcW w:type="dxa" w:w="6066"/>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