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Ver.1.24</w:t>
      </w:r>
    </w:p>
    <w:p>
      <w:pPr>
        <w:spacing w:after="80" w:before="80"/>
        <w:jc w:val="center"/>
      </w:pPr>
      <w:r>
        <w:rPr>
          <w:rFonts w:ascii="游ゴシック" w:cs="游ゴシック" w:eastAsia="游ゴシック" w:hAnsi="游ゴシック"/>
          <w:b w:val="false"/>
          <w:bCs w:val="false"/>
          <w:i/>
          <w:iCs/>
          <w:sz w:val="18"/>
          <w:szCs w:val="18"/>
        </w:rPr>
        <w:t xml:space="preserve">（交付金 枝番照合版）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1.24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確定しました（別冊「施策・事業の体系（Ｃ案）」）。本版では、交付金の評価を枝番（ア・イ・ウ…）の単位まで下ろして評価指標の本文（全42頁）と突き合わせ、体制・取組指標群の失点が3か所・27点だけであることを第3章3-3に示したうえで、その手当てを第6章6-1・第8章8-2・8-4に定め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介護予防・日常生活支援総合事業、包括的支援事業・任意事業を推進します。重層的支援体制整備事業との連動を加えます。（2節5項28事業）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6節8項27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本計画の基本理念・施策の体系は以下のとおりです。柱ごとの節・項・事業の全体像は、別冊「施策・事業の体系（Ｃ案）」（全7章17節37項140事業）に収録しています。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【7つの柱】（全7章17節37項140事業）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を除く施策を、施策体系・主な事業・成果指標（KPI）の3層構造で整理します。認知症施策（柱5）は第6章で、サービス提供体制と介護人材の確保は第7章で、保険者としての管理・評価は第8章（地域マネジメントの推進）で、それぞれ独立章として詳述します。なお、本章の5つの節は本素案Ver.1.20までの基本目標1〜5に対応するもので、節の構成を7つの柱の章立てに合わせる組み替えはVer.2.0で行います（対応は下表のとおりです）。その際、体系（Ｃ案）の140事業をすべて本章に掲げ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Ver.2.0で行います。Ver.1.21では、施策の内容は変えずに体系上の位置付けのみを確定しています。体系（Ｃ案）で新たに立てた事業23件（家族介護者への支援6件・認知症施策13件・町外医療機関との広域連携・重層的支援体制整備事業との連動・計画値と実績値の乖離のモニタリング・住所地特例への対応）は、Ver.2.0で本章及び第6章から第8章までに展開します。</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家族介護教室・介護相談・レスパイト（短期入所）の活用支援。本人が男性の世帯（介護者の70.6％が70歳以上）・夫婦のみ世帯（同81.3％）を重点対象とする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介護と仕事の両立支援、町内事業所との連携。本人が女性の世帯（介護者の43.6％が50代以下・フルタイム就労41.0％）を主たる対象とする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施策の体系においても、町がお示しになった「施策・事業の体系（案）」では「地域支援事業の充実」の一節に置かれていた認知症施策を、独立した柱（柱5 認知症施策の推進・6節8項27事業）に引き上げています。同法第14条から第21条までの8つの基本的施策のすべてに対応する事業を置いたうえで、第9条（認知症の日・認知症月間）及び第13条（計画の策定手続）への対応を加え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また、同交付金の体制・取組指標のうち「難聴高齢者の早期発見・早期介入」は20点満点で宮城県内1位（宮城県平均11.3点・全国平均6.9点）であり、本町の強みです。難聴は認知症の危険因子として国際的に確立しており、認知症基本法第21条（認知症の予防等）の対応事業として本章に位置付け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この手続は、介護保険保険者努力支援交付金 目標Ⅱ（ⅰ）1のカ「認知症の人及び家族等の意見を踏まえた市町村認知症施策推進計画の策定に着手している」（配点5点・全国の得点率42.8％）の要件そのものです。本町は同項目のア〜オ（20点）をすべて満点で得ている一方、カのみ令和8年度0点です。意見を反映させる仕組みを整えたうえで策定に着手することにより、5点を得られ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273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