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計画の整合のエビデンスの点検 ― 住まい・住宅を中心に</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分かったこと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住まい・住宅（7件）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3　医療との整合（3件）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4　そのほか調和の相手方（4件）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5　条番号の落とし穴（3件）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6　照会に足すもの（7件）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7　素案への反映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i w:val="0"/>
          <w:sz w:val="21"/>
        </w:rPr>
        <w:t>他町村の案件（高齢者福祉計画・介護保険事業計画）のブランチを確認し、整合をとる相手方と根拠資料の挙げ方を、小野町に当てて点検しました。</w:t>
      </w:r>
    </w:p>
    <w:p>
      <w:pPr>
        <w:spacing w:before="60" w:after="60"/>
      </w:pPr>
      <w:r>
        <w:rPr>
          <w:rFonts w:ascii="游ゴシック" w:hAnsi="游ゴシック" w:eastAsia="游ゴシック"/>
          <w:b/>
          <w:i w:val="0"/>
          <w:sz w:val="21"/>
        </w:rPr>
        <w:t>他町村の数値・固有の事情は本書に書いていません。</w:t>
      </w:r>
      <w:r>
        <w:rPr>
          <w:rFonts w:ascii="游ゴシック" w:hAnsi="游ゴシック" w:eastAsia="游ゴシック"/>
          <w:b w:val="0"/>
          <w:i w:val="0"/>
          <w:sz w:val="21"/>
        </w:rPr>
        <w:t xml:space="preserve"> 用いたのは</w:t>
      </w:r>
      <w:r>
        <w:rPr>
          <w:rFonts w:ascii="游ゴシック" w:hAnsi="游ゴシック" w:eastAsia="游ゴシック"/>
          <w:b/>
          <w:i w:val="0"/>
          <w:sz w:val="21"/>
        </w:rPr>
        <w:t>整合の相手方の挙げ方という方法</w:t>
      </w:r>
      <w:r>
        <w:rPr>
          <w:rFonts w:ascii="游ゴシック" w:hAnsi="游ゴシック" w:eastAsia="游ゴシック"/>
          <w:b w:val="0"/>
          <w:i w:val="0"/>
          <w:sz w:val="21"/>
        </w:rPr>
        <w:t>と、そこから辿れる</w:t>
      </w:r>
      <w:r>
        <w:rPr>
          <w:rFonts w:ascii="游ゴシック" w:hAnsi="游ゴシック" w:eastAsia="游ゴシック"/>
          <w:b/>
          <w:i w:val="0"/>
          <w:sz w:val="21"/>
        </w:rPr>
        <w:t>国・県の公開資料</w:t>
      </w:r>
      <w:r>
        <w:rPr>
          <w:rFonts w:ascii="游ゴシック" w:hAnsi="游ゴシック" w:eastAsia="游ゴシック"/>
          <w:b w:val="0"/>
          <w:i w:val="0"/>
          <w:sz w:val="21"/>
        </w:rPr>
        <w:t>だけです。国の通知・県の計画は公開資料であり、</w:t>
      </w:r>
      <w:r>
        <w:rPr>
          <w:rFonts w:ascii="游ゴシック" w:hAnsi="游ゴシック" w:eastAsia="游ゴシック"/>
          <w:b/>
          <w:i w:val="0"/>
          <w:sz w:val="21"/>
        </w:rPr>
        <w:t>用いる場合は入手元を明記します。</w:t>
      </w:r>
    </w:p>
    <w:p>
      <w:pPr>
        <w:pStyle w:val="Heading2"/>
        <w:keepNext/>
        <w:spacing w:before="180" w:after="100"/>
      </w:pPr>
      <w:bookmarkStart w:id="102" w:name="_Toc_002"/>
      <w:r>
        <w:rPr>
          <w:rFonts w:ascii="游ゴシック" w:hAnsi="游ゴシック" w:eastAsia="游ゴシック"/>
          <w:b/>
          <w:i w:val="0"/>
          <w:color w:val="2E74B5"/>
          <w:sz w:val="25"/>
        </w:rPr>
        <w:t>1-1　分かったこと</w:t>
      </w:r>
      <w:bookmarkEnd w:id="102"/>
    </w:p>
    <w:p>
      <w:pPr>
        <w:spacing w:before="60" w:after="60"/>
      </w:pPr>
      <w:r>
        <w:rPr>
          <w:rFonts w:ascii="游ゴシック" w:hAnsi="游ゴシック" w:eastAsia="游ゴシック"/>
          <w:b/>
          <w:i w:val="0"/>
          <w:sz w:val="21"/>
        </w:rPr>
        <w:t>小野町の素案の関連計画の表は8件で、住まい・住宅に関する計画が1件もありません。</w:t>
      </w:r>
    </w:p>
    <w:p>
      <w:pPr>
        <w:keepNext/>
        <w:spacing w:before="200" w:after="40"/>
      </w:pPr>
      <w:r>
        <w:rPr>
          <w:rFonts w:ascii="游ゴシック" w:hAnsi="游ゴシック" w:eastAsia="游ゴシック"/>
          <w:b/>
          <w:i w:val="0"/>
          <w:color w:val="1F4D78"/>
          <w:sz w:val="22"/>
        </w:rPr>
        <w:t>【表1】現在の関連計画の表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28"/>
        <w:gridCol w:w="4762"/>
        <w:gridCol w:w="1361"/>
      </w:tblGrid>
      <w:tr>
        <w:tc>
          <w:tcPr>
            <w:tcW w:type="dxa" w:w="362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本計画との関係</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表にあるか</w:t>
            </w:r>
          </w:p>
        </w:tc>
      </w:tr>
      <w:tr>
        <w:tc>
          <w:tcPr>
            <w:tcW w:type="dxa" w:w="3628"/>
            <w:vAlign w:val="center"/>
          </w:tcPr>
          <w:p>
            <w:pPr>
              <w:spacing w:before="20" w:after="20"/>
            </w:pPr>
            <w:r>
              <w:rPr>
                <w:rFonts w:ascii="游ゴシック" w:hAnsi="游ゴシック" w:eastAsia="游ゴシック"/>
                <w:b w:val="0"/>
                <w:i w:val="0"/>
                <w:sz w:val="17"/>
              </w:rPr>
              <w:t>小野町総合計画</w:t>
            </w:r>
          </w:p>
        </w:tc>
        <w:tc>
          <w:tcPr>
            <w:tcW w:type="dxa" w:w="4762"/>
            <w:vAlign w:val="center"/>
          </w:tcPr>
          <w:p>
            <w:pPr>
              <w:spacing w:before="20" w:after="20"/>
            </w:pPr>
            <w:r>
              <w:rPr>
                <w:rFonts w:ascii="游ゴシック" w:hAnsi="游ゴシック" w:eastAsia="游ゴシック"/>
                <w:b w:val="0"/>
                <w:i w:val="0"/>
                <w:sz w:val="17"/>
              </w:rPr>
              <w:t>町の最上位計画</w:t>
            </w:r>
          </w:p>
        </w:tc>
        <w:tc>
          <w:tcPr>
            <w:tcW w:type="dxa" w:w="1361"/>
            <w:vAlign w:val="center"/>
          </w:tcPr>
          <w:p>
            <w:pPr>
              <w:spacing w:before="20" w:after="20"/>
            </w:pPr>
            <w:r>
              <w:rPr>
                <w:rFonts w:ascii="游ゴシック" w:hAnsi="游ゴシック" w:eastAsia="游ゴシック"/>
                <w:b w:val="0"/>
                <w:i w:val="0"/>
                <w:sz w:val="17"/>
              </w:rPr>
              <w:t>○</w:t>
            </w:r>
          </w:p>
        </w:tc>
      </w:tr>
      <w:tr>
        <w:tc>
          <w:tcPr>
            <w:tcW w:type="dxa" w:w="3628"/>
            <w:vAlign w:val="center"/>
          </w:tcPr>
          <w:p>
            <w:pPr>
              <w:spacing w:before="20" w:after="20"/>
            </w:pPr>
            <w:r>
              <w:rPr>
                <w:rFonts w:ascii="游ゴシック" w:hAnsi="游ゴシック" w:eastAsia="游ゴシック"/>
                <w:b w:val="0"/>
                <w:i w:val="0"/>
                <w:sz w:val="17"/>
              </w:rPr>
              <w:t>小野町第3期地域福祉計画</w:t>
            </w:r>
          </w:p>
        </w:tc>
        <w:tc>
          <w:tcPr>
            <w:tcW w:type="dxa" w:w="4762"/>
            <w:vAlign w:val="center"/>
          </w:tcPr>
          <w:p>
            <w:pPr>
              <w:spacing w:before="20" w:after="20"/>
            </w:pPr>
            <w:r>
              <w:rPr>
                <w:rFonts w:ascii="游ゴシック" w:hAnsi="游ゴシック" w:eastAsia="游ゴシック"/>
                <w:b w:val="0"/>
                <w:i w:val="0"/>
                <w:sz w:val="17"/>
              </w:rPr>
              <w:t>福祉分野の最上位計画</w:t>
            </w:r>
          </w:p>
        </w:tc>
        <w:tc>
          <w:tcPr>
            <w:tcW w:type="dxa" w:w="1361"/>
            <w:vAlign w:val="center"/>
          </w:tcPr>
          <w:p>
            <w:pPr>
              <w:spacing w:before="20" w:after="20"/>
            </w:pPr>
            <w:r>
              <w:rPr>
                <w:rFonts w:ascii="游ゴシック" w:hAnsi="游ゴシック" w:eastAsia="游ゴシック"/>
                <w:b w:val="0"/>
                <w:i w:val="0"/>
                <w:sz w:val="17"/>
              </w:rPr>
              <w:t>○</w:t>
            </w:r>
          </w:p>
        </w:tc>
      </w:tr>
      <w:tr>
        <w:tc>
          <w:tcPr>
            <w:tcW w:type="dxa" w:w="3628"/>
            <w:vAlign w:val="center"/>
          </w:tcPr>
          <w:p>
            <w:pPr>
              <w:spacing w:before="20" w:after="20"/>
            </w:pPr>
            <w:r>
              <w:rPr>
                <w:rFonts w:ascii="游ゴシック" w:hAnsi="游ゴシック" w:eastAsia="游ゴシック"/>
                <w:b w:val="0"/>
                <w:i w:val="0"/>
                <w:sz w:val="17"/>
              </w:rPr>
              <w:t>おのまち障がい者計画・障がい福祉計画</w:t>
            </w:r>
          </w:p>
        </w:tc>
        <w:tc>
          <w:tcPr>
            <w:tcW w:type="dxa" w:w="4762"/>
            <w:vAlign w:val="center"/>
          </w:tcPr>
          <w:p>
            <w:pPr>
              <w:spacing w:before="20" w:after="20"/>
            </w:pPr>
            <w:r>
              <w:rPr>
                <w:rFonts w:ascii="游ゴシック" w:hAnsi="游ゴシック" w:eastAsia="游ゴシック"/>
                <w:b w:val="0"/>
                <w:i w:val="0"/>
                <w:sz w:val="17"/>
              </w:rPr>
              <w:t>65歳到達時の制度移行</w:t>
            </w:r>
          </w:p>
        </w:tc>
        <w:tc>
          <w:tcPr>
            <w:tcW w:type="dxa" w:w="1361"/>
            <w:vAlign w:val="center"/>
          </w:tcPr>
          <w:p>
            <w:pPr>
              <w:spacing w:before="20" w:after="20"/>
            </w:pPr>
            <w:r>
              <w:rPr>
                <w:rFonts w:ascii="游ゴシック" w:hAnsi="游ゴシック" w:eastAsia="游ゴシック"/>
                <w:b w:val="0"/>
                <w:i w:val="0"/>
                <w:sz w:val="17"/>
              </w:rPr>
              <w:t>○</w:t>
            </w:r>
          </w:p>
        </w:tc>
      </w:tr>
      <w:tr>
        <w:tc>
          <w:tcPr>
            <w:tcW w:type="dxa" w:w="3628"/>
            <w:vAlign w:val="center"/>
          </w:tcPr>
          <w:p>
            <w:pPr>
              <w:spacing w:before="20" w:after="20"/>
            </w:pPr>
            <w:r>
              <w:rPr>
                <w:rFonts w:ascii="游ゴシック" w:hAnsi="游ゴシック" w:eastAsia="游ゴシック"/>
                <w:b w:val="0"/>
                <w:i w:val="0"/>
                <w:sz w:val="17"/>
              </w:rPr>
              <w:t>小野町こども計画</w:t>
            </w:r>
          </w:p>
        </w:tc>
        <w:tc>
          <w:tcPr>
            <w:tcW w:type="dxa" w:w="4762"/>
            <w:vAlign w:val="center"/>
          </w:tcPr>
          <w:p>
            <w:pPr>
              <w:spacing w:before="20" w:after="20"/>
            </w:pPr>
            <w:r>
              <w:rPr>
                <w:rFonts w:ascii="游ゴシック" w:hAnsi="游ゴシック" w:eastAsia="游ゴシック"/>
                <w:b w:val="0"/>
                <w:i w:val="0"/>
                <w:sz w:val="17"/>
              </w:rPr>
              <w:t>ヤングケアラー</w:t>
            </w:r>
          </w:p>
        </w:tc>
        <w:tc>
          <w:tcPr>
            <w:tcW w:type="dxa" w:w="1361"/>
            <w:vAlign w:val="center"/>
          </w:tcPr>
          <w:p>
            <w:pPr>
              <w:spacing w:before="20" w:after="20"/>
            </w:pPr>
            <w:r>
              <w:rPr>
                <w:rFonts w:ascii="游ゴシック" w:hAnsi="游ゴシック" w:eastAsia="游ゴシック"/>
                <w:b w:val="0"/>
                <w:i w:val="0"/>
                <w:sz w:val="17"/>
              </w:rPr>
              <w:t>○</w:t>
            </w:r>
          </w:p>
        </w:tc>
      </w:tr>
      <w:tr>
        <w:tc>
          <w:tcPr>
            <w:tcW w:type="dxa" w:w="3628"/>
            <w:vAlign w:val="center"/>
          </w:tcPr>
          <w:p>
            <w:pPr>
              <w:spacing w:before="20" w:after="20"/>
            </w:pPr>
            <w:r>
              <w:rPr>
                <w:rFonts w:ascii="游ゴシック" w:hAnsi="游ゴシック" w:eastAsia="游ゴシック"/>
                <w:b w:val="0"/>
                <w:i w:val="0"/>
                <w:sz w:val="17"/>
              </w:rPr>
              <w:t>小野町地域公共交通計画</w:t>
            </w:r>
          </w:p>
        </w:tc>
        <w:tc>
          <w:tcPr>
            <w:tcW w:type="dxa" w:w="4762"/>
            <w:vAlign w:val="center"/>
          </w:tcPr>
          <w:p>
            <w:pPr>
              <w:spacing w:before="20" w:after="20"/>
            </w:pPr>
            <w:r>
              <w:rPr>
                <w:rFonts w:ascii="游ゴシック" w:hAnsi="游ゴシック" w:eastAsia="游ゴシック"/>
                <w:b w:val="0"/>
                <w:i w:val="0"/>
                <w:sz w:val="17"/>
              </w:rPr>
              <w:t>移送・外出支援</w:t>
            </w:r>
          </w:p>
        </w:tc>
        <w:tc>
          <w:tcPr>
            <w:tcW w:type="dxa" w:w="1361"/>
            <w:vAlign w:val="center"/>
          </w:tcPr>
          <w:p>
            <w:pPr>
              <w:spacing w:before="20" w:after="20"/>
            </w:pPr>
            <w:r>
              <w:rPr>
                <w:rFonts w:ascii="游ゴシック" w:hAnsi="游ゴシック" w:eastAsia="游ゴシック"/>
                <w:b w:val="0"/>
                <w:i w:val="0"/>
                <w:sz w:val="17"/>
              </w:rPr>
              <w:t>○</w:t>
            </w:r>
          </w:p>
        </w:tc>
      </w:tr>
      <w:tr>
        <w:tc>
          <w:tcPr>
            <w:tcW w:type="dxa" w:w="3628"/>
            <w:vAlign w:val="center"/>
          </w:tcPr>
          <w:p>
            <w:pPr>
              <w:spacing w:before="20" w:after="20"/>
            </w:pPr>
            <w:r>
              <w:rPr>
                <w:rFonts w:ascii="游ゴシック" w:hAnsi="游ゴシック" w:eastAsia="游ゴシック"/>
                <w:b w:val="0"/>
                <w:i w:val="0"/>
                <w:sz w:val="17"/>
              </w:rPr>
              <w:t>小野町地域防災計画</w:t>
            </w:r>
          </w:p>
        </w:tc>
        <w:tc>
          <w:tcPr>
            <w:tcW w:type="dxa" w:w="4762"/>
            <w:vAlign w:val="center"/>
          </w:tcPr>
          <w:p>
            <w:pPr>
              <w:spacing w:before="20" w:after="20"/>
            </w:pPr>
            <w:r>
              <w:rPr>
                <w:rFonts w:ascii="游ゴシック" w:hAnsi="游ゴシック" w:eastAsia="游ゴシック"/>
                <w:b w:val="0"/>
                <w:i w:val="0"/>
                <w:sz w:val="17"/>
              </w:rPr>
              <w:t>避難行動要支援者名簿、福祉避難所</w:t>
            </w:r>
          </w:p>
        </w:tc>
        <w:tc>
          <w:tcPr>
            <w:tcW w:type="dxa" w:w="1361"/>
            <w:vAlign w:val="center"/>
          </w:tcPr>
          <w:p>
            <w:pPr>
              <w:spacing w:before="20" w:after="20"/>
            </w:pPr>
            <w:r>
              <w:rPr>
                <w:rFonts w:ascii="游ゴシック" w:hAnsi="游ゴシック" w:eastAsia="游ゴシック"/>
                <w:b w:val="0"/>
                <w:i w:val="0"/>
                <w:sz w:val="17"/>
              </w:rPr>
              <w:t>○</w:t>
            </w:r>
          </w:p>
        </w:tc>
      </w:tr>
      <w:tr>
        <w:tc>
          <w:tcPr>
            <w:tcW w:type="dxa" w:w="3628"/>
            <w:vAlign w:val="center"/>
          </w:tcPr>
          <w:p>
            <w:pPr>
              <w:keepNext/>
              <w:spacing w:before="20" w:after="20"/>
            </w:pPr>
            <w:r>
              <w:rPr>
                <w:rFonts w:ascii="游ゴシック" w:hAnsi="游ゴシック" w:eastAsia="游ゴシック"/>
                <w:b w:val="0"/>
                <w:i w:val="0"/>
                <w:sz w:val="17"/>
              </w:rPr>
              <w:t>小野町過疎地域持続的発展計画</w:t>
            </w:r>
          </w:p>
        </w:tc>
        <w:tc>
          <w:tcPr>
            <w:tcW w:type="dxa" w:w="4762"/>
            <w:vAlign w:val="center"/>
          </w:tcPr>
          <w:p>
            <w:pPr>
              <w:keepNext/>
              <w:spacing w:before="20" w:after="20"/>
            </w:pPr>
            <w:r>
              <w:rPr>
                <w:rFonts w:ascii="游ゴシック" w:hAnsi="游ゴシック" w:eastAsia="游ゴシック"/>
                <w:b w:val="0"/>
                <w:i w:val="0"/>
                <w:sz w:val="17"/>
              </w:rPr>
              <w:t>拠点整備、情報化、交通等の財源接続</w:t>
            </w:r>
          </w:p>
        </w:tc>
        <w:tc>
          <w:tcPr>
            <w:tcW w:type="dxa" w:w="1361"/>
            <w:vAlign w:val="center"/>
          </w:tcPr>
          <w:p>
            <w:pPr>
              <w:keepNext/>
              <w:spacing w:before="20" w:after="20"/>
            </w:pPr>
            <w:r>
              <w:rPr>
                <w:rFonts w:ascii="游ゴシック" w:hAnsi="游ゴシック" w:eastAsia="游ゴシック"/>
                <w:b w:val="0"/>
                <w:i w:val="0"/>
                <w:sz w:val="17"/>
              </w:rPr>
              <w:t>○</w:t>
            </w:r>
          </w:p>
        </w:tc>
      </w:tr>
      <w:tr>
        <w:tc>
          <w:tcPr>
            <w:tcW w:type="dxa" w:w="3628"/>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4762"/>
            <w:vAlign w:val="center"/>
          </w:tcPr>
          <w:p>
            <w:pPr>
              <w:spacing w:before="20" w:after="20"/>
            </w:pPr>
            <w:r>
              <w:rPr>
                <w:rFonts w:ascii="游ゴシック" w:hAnsi="游ゴシック" w:eastAsia="游ゴシック"/>
                <w:b w:val="0"/>
                <w:i w:val="0"/>
                <w:sz w:val="17"/>
              </w:rPr>
              <w:t>施設整備の広域調整</w:t>
            </w:r>
          </w:p>
        </w:tc>
        <w:tc>
          <w:tcPr>
            <w:tcW w:type="dxa" w:w="136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高齢者向け住まいは、第1章2の「国が求める5点」の表に1行あるだけです。</w:t>
      </w:r>
      <w:r>
        <w:rPr>
          <w:rFonts w:ascii="游ゴシック" w:hAnsi="游ゴシック" w:eastAsia="游ゴシック"/>
          <w:b w:val="0"/>
          <w:i w:val="0"/>
          <w:sz w:val="21"/>
        </w:rPr>
        <w:t xml:space="preserve"> 施策にも関連計画にも出てきません。一方、介護保険法は改正により</w:t>
      </w:r>
      <w:r>
        <w:rPr>
          <w:rFonts w:ascii="游ゴシック" w:hAnsi="游ゴシック" w:eastAsia="游ゴシック"/>
          <w:b/>
          <w:i w:val="0"/>
          <w:sz w:val="21"/>
        </w:rPr>
        <w:t>住まいの入居定員の勘案を義務</w:t>
      </w:r>
      <w:r>
        <w:rPr>
          <w:rFonts w:ascii="游ゴシック" w:hAnsi="游ゴシック" w:eastAsia="游ゴシック"/>
          <w:b w:val="0"/>
          <w:i w:val="0"/>
          <w:sz w:val="21"/>
        </w:rPr>
        <w:t>とし、</w:t>
      </w:r>
      <w:r>
        <w:rPr>
          <w:rFonts w:ascii="游ゴシック" w:hAnsi="游ゴシック" w:eastAsia="游ゴシック"/>
          <w:b/>
          <w:i w:val="0"/>
          <w:sz w:val="21"/>
        </w:rPr>
        <w:t>住宅セーフティネット法の居住支援協議会との連携を努力義務</w:t>
      </w:r>
      <w:r>
        <w:rPr>
          <w:rFonts w:ascii="游ゴシック" w:hAnsi="游ゴシック" w:eastAsia="游ゴシック"/>
          <w:b w:val="0"/>
          <w:i w:val="0"/>
          <w:sz w:val="21"/>
        </w:rPr>
        <w:t>としました。いずれも</w:t>
      </w:r>
      <w:r>
        <w:rPr>
          <w:rFonts w:ascii="游ゴシック" w:hAnsi="游ゴシック" w:eastAsia="游ゴシック"/>
          <w:b/>
          <w:i w:val="0"/>
          <w:sz w:val="21"/>
        </w:rPr>
        <w:t>令和9年4月1日施行＝計画期間の初日</w:t>
      </w:r>
      <w:r>
        <w:rPr>
          <w:rFonts w:ascii="游ゴシック" w:hAnsi="游ゴシック" w:eastAsia="游ゴシック"/>
          <w:b w:val="0"/>
          <w:i w:val="0"/>
          <w:sz w:val="21"/>
        </w:rPr>
        <w:t>です。</w:t>
      </w:r>
    </w:p>
    <w:p>
      <w:pPr>
        <w:pStyle w:val="Heading1"/>
        <w:keepNext/>
        <w:spacing w:before="240" w:after="100"/>
      </w:pPr>
      <w:bookmarkStart w:id="103" w:name="_Toc_003"/>
      <w:r>
        <w:rPr>
          <w:rFonts w:ascii="游ゴシック" w:hAnsi="游ゴシック" w:eastAsia="游ゴシック"/>
          <w:b/>
          <w:i w:val="0"/>
          <w:color w:val="2E74B5"/>
          <w:sz w:val="30"/>
        </w:rPr>
        <w:t>2　住まい・住宅（7件）</w:t>
      </w:r>
      <w:bookmarkEnd w:id="103"/>
    </w:p>
    <w:p>
      <w:pPr>
        <w:spacing w:before="60" w:after="60"/>
      </w:pPr>
      <w:r>
        <w:rPr>
          <w:rFonts w:ascii="游ゴシック" w:hAnsi="游ゴシック" w:eastAsia="游ゴシック"/>
          <w:b/>
          <w:i w:val="0"/>
          <w:sz w:val="21"/>
        </w:rPr>
        <w:t>最も抜けているところです。</w:t>
      </w:r>
    </w:p>
    <w:p>
      <w:pPr>
        <w:pStyle w:val="Heading3"/>
        <w:keepNext/>
        <w:spacing w:before="180" w:after="80"/>
      </w:pPr>
      <w:r>
        <w:rPr>
          <w:rFonts w:ascii="游ゴシック" w:hAnsi="游ゴシック" w:eastAsia="游ゴシック"/>
          <w:b/>
          <w:i w:val="0"/>
          <w:color w:val="1F4D78"/>
          <w:sz w:val="22"/>
        </w:rPr>
        <w:t>福島県高齢者居住安定確保計画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高齢者の居住の安定確保に関する法律（平成13年法律第26号）</w:t>
            </w:r>
            <w:r>
              <w:rPr>
                <w:rFonts w:ascii="游ゴシック" w:hAnsi="游ゴシック" w:eastAsia="游ゴシック"/>
                <w:b/>
                <w:i w:val="0"/>
                <w:sz w:val="17"/>
              </w:rPr>
              <w:t>第4条</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関連計画の表にない。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本計画期間との関係に注意が要る。</w:t>
            </w:r>
            <w:r>
              <w:rPr>
                <w:rFonts w:ascii="游ゴシック" w:hAnsi="游ゴシック" w:eastAsia="游ゴシック"/>
                <w:b w:val="0"/>
                <w:i w:val="0"/>
                <w:sz w:val="17"/>
              </w:rPr>
              <w:t xml:space="preserve"> 現行は</w:t>
            </w:r>
            <w:r>
              <w:rPr>
                <w:rFonts w:ascii="游ゴシック" w:hAnsi="游ゴシック" w:eastAsia="游ゴシック"/>
                <w:b/>
                <w:i w:val="0"/>
                <w:sz w:val="17"/>
              </w:rPr>
              <w:t>令和4年3月改定</w:t>
            </w:r>
            <w:r>
              <w:rPr>
                <w:rFonts w:ascii="游ゴシック" w:hAnsi="游ゴシック" w:eastAsia="游ゴシック"/>
                <w:b w:val="0"/>
                <w:i w:val="0"/>
                <w:sz w:val="17"/>
              </w:rPr>
              <w:t>で、福島県住生活基本計画とふくしま高齢者いきいきプランの施策別計画として定められている。</w:t>
            </w:r>
            <w:r>
              <w:rPr>
                <w:rFonts w:ascii="游ゴシック" w:hAnsi="游ゴシック" w:eastAsia="游ゴシック"/>
                <w:b/>
                <w:i w:val="0"/>
                <w:sz w:val="17"/>
              </w:rPr>
              <w:t>県が改定する見込みであり、改定の内容を確かめて書く</w:t>
            </w:r>
          </w:p>
        </w:tc>
      </w:tr>
    </w:tbl>
    <w:p>
      <w:pPr>
        <w:spacing w:after="40"/>
      </w:pPr>
    </w:p>
    <w:p>
      <w:pPr>
        <w:pStyle w:val="Heading3"/>
        <w:keepNext/>
        <w:spacing w:before="180" w:after="80"/>
      </w:pPr>
      <w:r>
        <w:rPr>
          <w:rFonts w:ascii="游ゴシック" w:hAnsi="游ゴシック" w:eastAsia="游ゴシック"/>
          <w:b/>
          <w:i w:val="0"/>
          <w:color w:val="1F4D78"/>
          <w:sz w:val="22"/>
        </w:rPr>
        <w:t>福島県住生活基本計画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住生活基本法（平成18年法律第61号）</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関連計画の表にない。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val="0"/>
                <w:i w:val="0"/>
                <w:sz w:val="17"/>
              </w:rPr>
              <w:t>上記の上位計画。関連計画の表に加える</w:t>
            </w:r>
          </w:p>
        </w:tc>
      </w:tr>
    </w:tbl>
    <w:p>
      <w:pPr>
        <w:spacing w:after="40"/>
      </w:pPr>
    </w:p>
    <w:p>
      <w:pPr>
        <w:pStyle w:val="Heading3"/>
        <w:keepNext/>
        <w:spacing w:before="180" w:after="80"/>
      </w:pPr>
      <w:r>
        <w:rPr>
          <w:rFonts w:ascii="游ゴシック" w:hAnsi="游ゴシック" w:eastAsia="游ゴシック"/>
          <w:b/>
          <w:i w:val="0"/>
          <w:color w:val="1F4D78"/>
          <w:sz w:val="22"/>
        </w:rPr>
        <w:t>福島県賃貸住宅供給促進計画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住宅確保要配慮者に対する賃貸住宅の供給の促進に関する法律（平成19年法律第112号）</w:t>
            </w:r>
            <w:r>
              <w:rPr>
                <w:rFonts w:ascii="游ゴシック" w:hAnsi="游ゴシック" w:eastAsia="游ゴシック"/>
                <w:b/>
                <w:i w:val="0"/>
                <w:sz w:val="17"/>
              </w:rPr>
              <w:t>第5条</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関連計画の表にない。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国の基本指針は、調和を保つ相手方として市町村賃貸住宅供給促進計画を挙げている。</w:t>
            </w:r>
            <w:r>
              <w:rPr>
                <w:rFonts w:ascii="游ゴシック" w:hAnsi="游ゴシック" w:eastAsia="游ゴシック"/>
                <w:b w:val="0"/>
                <w:i w:val="0"/>
                <w:sz w:val="17"/>
              </w:rPr>
              <w:t>県計画と、町が定めているかの両方を確かめる</w:t>
            </w:r>
          </w:p>
        </w:tc>
      </w:tr>
    </w:tbl>
    <w:p>
      <w:pPr>
        <w:spacing w:after="40"/>
      </w:pPr>
    </w:p>
    <w:p>
      <w:pPr>
        <w:pStyle w:val="Heading3"/>
        <w:keepNext/>
        <w:spacing w:before="180" w:after="80"/>
      </w:pPr>
      <w:r>
        <w:rPr>
          <w:rFonts w:ascii="游ゴシック" w:hAnsi="游ゴシック" w:eastAsia="游ゴシック"/>
          <w:b/>
          <w:i w:val="0"/>
          <w:color w:val="1F4D78"/>
          <w:sz w:val="22"/>
        </w:rPr>
        <w:t>市町村高齢者居住安定確保計画の有無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高齢者住まい法第4条の2（</w:t>
            </w:r>
            <w:r>
              <w:rPr>
                <w:rFonts w:ascii="游ゴシック" w:hAnsi="游ゴシック" w:eastAsia="游ゴシック"/>
                <w:b/>
                <w:i w:val="0"/>
                <w:sz w:val="17"/>
              </w:rPr>
              <w:t>条番号は要確認</w:t>
            </w:r>
            <w:r>
              <w:rPr>
                <w:rFonts w:ascii="游ゴシック" w:hAnsi="游ゴシック" w:eastAsia="游ゴシック"/>
                <w:b w:val="0"/>
                <w:i w:val="0"/>
                <w:sz w:val="17"/>
              </w:rPr>
              <w:t>）</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町が定めているかを確かめていない。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定めていれば関連計画、定めていなければその旨を書く。</w:t>
            </w:r>
            <w:r>
              <w:rPr>
                <w:rFonts w:ascii="游ゴシック" w:hAnsi="游ゴシック" w:eastAsia="游ゴシック"/>
                <w:b w:val="0"/>
                <w:i w:val="0"/>
                <w:sz w:val="17"/>
              </w:rPr>
              <w:t>町への照会に加える</w:t>
            </w:r>
          </w:p>
        </w:tc>
      </w:tr>
    </w:tbl>
    <w:p>
      <w:pPr>
        <w:spacing w:after="40"/>
      </w:pPr>
    </w:p>
    <w:p>
      <w:pPr>
        <w:pStyle w:val="Heading3"/>
        <w:keepNext/>
        <w:spacing w:before="180" w:after="80"/>
      </w:pPr>
      <w:r>
        <w:rPr>
          <w:rFonts w:ascii="游ゴシック" w:hAnsi="游ゴシック" w:eastAsia="游ゴシック"/>
          <w:b/>
          <w:i w:val="0"/>
          <w:color w:val="1F4D78"/>
          <w:sz w:val="22"/>
        </w:rPr>
        <w:t>市町村賃貸住宅供給促進計画の有無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住宅セーフティネット法</w:t>
            </w:r>
            <w:r>
              <w:rPr>
                <w:rFonts w:ascii="游ゴシック" w:hAnsi="游ゴシック" w:eastAsia="游ゴシック"/>
                <w:b/>
                <w:i w:val="0"/>
                <w:sz w:val="17"/>
              </w:rPr>
              <w:t>第6条</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町が定めているかを確かめていない。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作成は「できる」規定（任意）</w:t>
            </w:r>
            <w:r>
              <w:rPr>
                <w:rFonts w:ascii="游ゴシック" w:hAnsi="游ゴシック" w:eastAsia="游ゴシック"/>
                <w:b w:val="0"/>
                <w:i w:val="0"/>
                <w:sz w:val="17"/>
              </w:rPr>
              <w:t>であり、定めていない市町村も多い</w:t>
            </w:r>
          </w:p>
        </w:tc>
      </w:tr>
    </w:tbl>
    <w:p>
      <w:pPr>
        <w:spacing w:after="40"/>
      </w:pPr>
    </w:p>
    <w:p>
      <w:pPr>
        <w:pStyle w:val="Heading3"/>
        <w:keepNext/>
        <w:spacing w:before="180" w:after="80"/>
      </w:pPr>
      <w:r>
        <w:rPr>
          <w:rFonts w:ascii="游ゴシック" w:hAnsi="游ゴシック" w:eastAsia="游ゴシック"/>
          <w:b/>
          <w:i w:val="0"/>
          <w:color w:val="1F4D78"/>
          <w:sz w:val="22"/>
        </w:rPr>
        <w:t>居住支援協議会との連携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i w:val="0"/>
                <w:sz w:val="17"/>
              </w:rPr>
              <w:t>介護保険法第115条の48第5項【新設】</w:t>
            </w:r>
            <w:r>
              <w:rPr>
                <w:rFonts w:ascii="游ゴシック" w:hAnsi="游ゴシック" w:eastAsia="游ゴシック"/>
                <w:b w:val="0"/>
                <w:i w:val="0"/>
                <w:sz w:val="17"/>
              </w:rPr>
              <w:t>が、住宅セーフティネット法</w:t>
            </w:r>
            <w:r>
              <w:rPr>
                <w:rFonts w:ascii="游ゴシック" w:hAnsi="游ゴシック" w:eastAsia="游ゴシック"/>
                <w:b/>
                <w:i w:val="0"/>
                <w:sz w:val="17"/>
              </w:rPr>
              <w:t>第81条第1項</w:t>
            </w:r>
            <w:r>
              <w:rPr>
                <w:rFonts w:ascii="游ゴシック" w:hAnsi="游ゴシック" w:eastAsia="游ゴシック"/>
                <w:b w:val="0"/>
                <w:i w:val="0"/>
                <w:sz w:val="17"/>
              </w:rPr>
              <w:t>に規定する支援協議会を名指しして、相互に連携を図るよう努めなければならないとしている</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接点の節（第4章4の10）に書いたが、整合の相手方としては書いていない。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令和9年4月1日施行＝計画期間の初日。</w:t>
            </w:r>
            <w:r>
              <w:rPr>
                <w:rFonts w:ascii="游ゴシック" w:hAnsi="游ゴシック" w:eastAsia="游ゴシック"/>
                <w:b w:val="0"/>
                <w:i w:val="0"/>
                <w:sz w:val="17"/>
              </w:rPr>
              <w:t>福島県居住支援協議会があり、町に協議会があるかを確かめる</w:t>
            </w:r>
          </w:p>
        </w:tc>
      </w:tr>
    </w:tbl>
    <w:p>
      <w:pPr>
        <w:spacing w:after="40"/>
      </w:pPr>
    </w:p>
    <w:p>
      <w:pPr>
        <w:pStyle w:val="Heading3"/>
        <w:keepNext/>
        <w:spacing w:before="180" w:after="80"/>
      </w:pPr>
      <w:r>
        <w:rPr>
          <w:rFonts w:ascii="游ゴシック" w:hAnsi="游ゴシック" w:eastAsia="游ゴシック"/>
          <w:b/>
          <w:i w:val="0"/>
          <w:color w:val="1F4D78"/>
          <w:sz w:val="22"/>
        </w:rPr>
        <w:t>公営住宅・町営住宅の状況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公営住宅法／公営住宅等長寿命化計画</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関連計画の表にない。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val="0"/>
                <w:i w:val="0"/>
                <w:sz w:val="17"/>
              </w:rPr>
              <w:t>高齢者向けの住戸の有無、バリアフリー化の状況。</w:t>
            </w:r>
            <w:r>
              <w:rPr>
                <w:rFonts w:ascii="游ゴシック" w:hAnsi="游ゴシック" w:eastAsia="游ゴシック"/>
                <w:b/>
                <w:i w:val="0"/>
                <w:sz w:val="17"/>
              </w:rPr>
              <w:t>在宅生活の継続の前提になる</w:t>
            </w:r>
          </w:p>
        </w:tc>
      </w:tr>
    </w:tbl>
    <w:p>
      <w:pPr>
        <w:spacing w:after="40"/>
      </w:pPr>
    </w:p>
    <w:p>
      <w:pPr>
        <w:spacing w:before="40" w:after="160"/>
        <w:ind w:left="113"/>
      </w:pPr>
      <w:r>
        <w:rPr>
          <w:rFonts w:ascii="游ゴシック" w:hAnsi="游ゴシック" w:eastAsia="游ゴシック"/>
          <w:b w:val="0"/>
          <w:i w:val="0"/>
          <w:sz w:val="17"/>
        </w:rPr>
        <w:t>資料：福島県の各計画のページ（高齢者居住安定確保計画・住生活基本計画・賃貸住宅供給促進計画）、福島県居住支援協議会のページ。</w:t>
      </w:r>
      <w:r>
        <w:rPr>
          <w:rFonts w:ascii="游ゴシック" w:hAnsi="游ゴシック" w:eastAsia="游ゴシック"/>
          <w:b/>
          <w:i w:val="0"/>
          <w:sz w:val="17"/>
        </w:rPr>
        <w:t>介護保険法第115条の48第5項の条文は、厚生労働省「社会福祉法等の一部を改正する法律案　新旧対照条文」（令和8年法律第51号・全353頁）により確認。</w:t>
      </w:r>
    </w:p>
    <w:p>
      <w:pPr>
        <w:pStyle w:val="Heading1"/>
        <w:keepNext/>
        <w:spacing w:before="240" w:after="100"/>
      </w:pPr>
      <w:bookmarkStart w:id="104" w:name="_Toc_004"/>
      <w:r>
        <w:rPr>
          <w:rFonts w:ascii="游ゴシック" w:hAnsi="游ゴシック" w:eastAsia="游ゴシック"/>
          <w:b/>
          <w:i w:val="0"/>
          <w:color w:val="2E74B5"/>
          <w:sz w:val="30"/>
        </w:rPr>
        <w:t>3　医療との整合（3件）</w:t>
      </w:r>
      <w:bookmarkEnd w:id="104"/>
    </w:p>
    <w:p>
      <w:pPr>
        <w:spacing w:before="60" w:after="60"/>
      </w:pPr>
      <w:r>
        <w:rPr>
          <w:rFonts w:ascii="游ゴシック" w:hAnsi="游ゴシック" w:eastAsia="游ゴシック"/>
          <w:b/>
          <w:i w:val="0"/>
          <w:sz w:val="21"/>
        </w:rPr>
        <w:t>住まいに次いで重いところです。整合性の確保は義務です。</w:t>
      </w:r>
    </w:p>
    <w:p>
      <w:pPr>
        <w:pStyle w:val="Heading3"/>
        <w:keepNext/>
        <w:spacing w:before="180" w:after="80"/>
      </w:pPr>
      <w:r>
        <w:rPr>
          <w:rFonts w:ascii="游ゴシック" w:hAnsi="游ゴシック" w:eastAsia="游ゴシック"/>
          <w:b/>
          <w:i w:val="0"/>
          <w:color w:val="1F4D78"/>
          <w:sz w:val="22"/>
        </w:rPr>
        <w:t>福島県保健医療計画（第八次・令和6〜11年度）・地域医療構想</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i w:val="0"/>
                <w:sz w:val="17"/>
              </w:rPr>
              <w:t>介護保険法第117条。整合性の確保は義務</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val="0"/>
                <w:i w:val="0"/>
                <w:sz w:val="17"/>
              </w:rPr>
              <w:t>第1章2の表に1行あるが【町データ待ち】。</w:t>
            </w:r>
            <w:r>
              <w:rPr>
                <w:rFonts w:ascii="游ゴシック" w:hAnsi="游ゴシック" w:eastAsia="游ゴシック"/>
                <w:b/>
                <w:i w:val="0"/>
                <w:sz w:val="17"/>
              </w:rPr>
              <w:t>関連計画の表（第1章3）にない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県中区域の記載を確かめ、第5章 基本目標2⑦に接続する</w:t>
            </w:r>
          </w:p>
        </w:tc>
      </w:tr>
    </w:tbl>
    <w:p>
      <w:pPr>
        <w:spacing w:after="40"/>
      </w:pPr>
    </w:p>
    <w:p>
      <w:pPr>
        <w:pStyle w:val="Heading3"/>
        <w:keepNext/>
        <w:spacing w:before="180" w:after="80"/>
      </w:pPr>
      <w:r>
        <w:rPr>
          <w:rFonts w:ascii="游ゴシック" w:hAnsi="游ゴシック" w:eastAsia="游ゴシック"/>
          <w:b/>
          <w:i w:val="0"/>
          <w:color w:val="1F4D78"/>
          <w:sz w:val="22"/>
        </w:rPr>
        <w:t>医療介護総合確保促進法第5条第1項の市町村計画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地域における医療及び介護の総合的な確保の促進に関する法律</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言及がない。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町がこの市町村計画を定めているかを確かめる。</w:t>
            </w:r>
            <w:r>
              <w:rPr>
                <w:rFonts w:ascii="游ゴシック" w:hAnsi="游ゴシック" w:eastAsia="游ゴシック"/>
                <w:b w:val="0"/>
                <w:i w:val="0"/>
                <w:sz w:val="17"/>
              </w:rPr>
              <w:t>定めていれば整合の相手方になる</w:t>
            </w:r>
          </w:p>
        </w:tc>
      </w:tr>
    </w:tbl>
    <w:p>
      <w:pPr>
        <w:spacing w:after="40"/>
      </w:pPr>
    </w:p>
    <w:p>
      <w:pPr>
        <w:pStyle w:val="Heading3"/>
        <w:keepNext/>
        <w:spacing w:before="180" w:after="80"/>
      </w:pPr>
      <w:r>
        <w:rPr>
          <w:rFonts w:ascii="游ゴシック" w:hAnsi="游ゴシック" w:eastAsia="游ゴシック"/>
          <w:b/>
          <w:i w:val="0"/>
          <w:color w:val="1F4D78"/>
          <w:sz w:val="22"/>
        </w:rPr>
        <w:t>整合性の確保の方法を示した国の通知</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「医療計画及び介護保険事業（支援）計画における整備目標及びサービスの量の見込みに係る整合性の確保について」（</w:t>
            </w:r>
            <w:r>
              <w:rPr>
                <w:rFonts w:ascii="游ゴシック" w:hAnsi="游ゴシック" w:eastAsia="游ゴシック"/>
                <w:b/>
                <w:i w:val="0"/>
                <w:sz w:val="17"/>
              </w:rPr>
              <w:t>令和8年7月14日付け</w:t>
            </w:r>
            <w:r>
              <w:rPr>
                <w:rFonts w:ascii="游ゴシック" w:hAnsi="游ゴシック" w:eastAsia="游ゴシック"/>
                <w:b w:val="0"/>
                <w:i w:val="0"/>
                <w:sz w:val="17"/>
              </w:rPr>
              <w:t>厚生労働省医政局地域医療計画課長・老健局介護保険計画課長・保険局医療介護連携政策課長</w:t>
            </w:r>
            <w:r>
              <w:rPr>
                <w:rFonts w:ascii="游ゴシック" w:hAnsi="游ゴシック" w:eastAsia="游ゴシック"/>
                <w:b/>
                <w:i w:val="0"/>
                <w:sz w:val="17"/>
              </w:rPr>
              <w:t>連名通知</w:t>
            </w:r>
            <w:r>
              <w:rPr>
                <w:rFonts w:ascii="游ゴシック" w:hAnsi="游ゴシック" w:eastAsia="游ゴシック"/>
                <w:b w:val="0"/>
                <w:i w:val="0"/>
                <w:sz w:val="17"/>
              </w:rPr>
              <w:t>）</w:t>
            </w:r>
          </w:p>
        </w:tc>
      </w:tr>
      <w:tr>
        <w:tc>
          <w:tcPr>
            <w:tcW w:type="dxa" w:w="1701"/>
            <w:vAlign w:val="center"/>
          </w:tcPr>
          <w:p>
            <w:pPr>
              <w:keepNext/>
              <w:spacing w:before="20" w:after="20"/>
            </w:pPr>
            <w:r>
              <w:rPr>
                <w:rFonts w:ascii="游ゴシック" w:hAnsi="游ゴシック" w:eastAsia="游ゴシック"/>
                <w:b/>
                <w:i w:val="0"/>
                <w:sz w:val="17"/>
              </w:rPr>
              <w:t>本町での扱い</w:t>
            </w:r>
          </w:p>
        </w:tc>
        <w:tc>
          <w:tcPr>
            <w:tcW w:type="dxa" w:w="8050"/>
            <w:vAlign w:val="center"/>
          </w:tcPr>
          <w:p>
            <w:pPr>
              <w:keepNext/>
              <w:spacing w:before="20" w:after="20"/>
            </w:pPr>
            <w:r>
              <w:rPr>
                <w:rFonts w:ascii="游ゴシック" w:hAnsi="游ゴシック" w:eastAsia="游ゴシック"/>
                <w:b/>
                <w:i w:val="0"/>
                <w:sz w:val="17"/>
              </w:rPr>
              <w:t>用いていない。</w:t>
            </w:r>
          </w:p>
        </w:tc>
      </w:tr>
      <w:tr>
        <w:tc>
          <w:tcPr>
            <w:tcW w:type="dxa" w:w="1701"/>
            <w:vAlign w:val="center"/>
          </w:tcPr>
          <w:p>
            <w:pPr>
              <w:spacing w:before="20" w:after="20"/>
            </w:pPr>
            <w:r>
              <w:rPr>
                <w:rFonts w:ascii="游ゴシック" w:hAnsi="游ゴシック" w:eastAsia="游ゴシック"/>
                <w:b w:val="0"/>
                <w:i w:val="0"/>
                <w:sz w:val="17"/>
              </w:rPr>
              <w:t>どう直すか</w:t>
            </w:r>
          </w:p>
        </w:tc>
        <w:tc>
          <w:tcPr>
            <w:tcW w:type="dxa" w:w="8050"/>
            <w:vAlign w:val="center"/>
          </w:tcPr>
          <w:p>
            <w:pPr>
              <w:spacing w:before="20" w:after="20"/>
            </w:pPr>
            <w:r>
              <w:rPr>
                <w:rFonts w:ascii="游ゴシック" w:hAnsi="游ゴシック" w:eastAsia="游ゴシック"/>
                <w:b/>
                <w:i w:val="0"/>
                <w:sz w:val="17"/>
              </w:rPr>
              <w:t>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を基本とすること</w:t>
            </w:r>
            <w:r>
              <w:rPr>
                <w:rFonts w:ascii="游ゴシック" w:hAnsi="游ゴシック" w:eastAsia="游ゴシック"/>
                <w:b w:val="0"/>
                <w:i w:val="0"/>
                <w:sz w:val="17"/>
              </w:rPr>
              <w:t>を示している。</w:t>
            </w:r>
            <w:r>
              <w:rPr>
                <w:rFonts w:ascii="游ゴシック" w:hAnsi="游ゴシック" w:eastAsia="游ゴシック"/>
                <w:b/>
                <w:i w:val="0"/>
                <w:sz w:val="17"/>
              </w:rPr>
              <w:t>本計画の見込量の置き方がこの考え方に合っていることを示せる</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4　そのほか調和の相手方（4件）</w:t>
      </w:r>
      <w:bookmarkEnd w:id="105"/>
    </w:p>
    <w:p>
      <w:pPr>
        <w:keepNext/>
        <w:spacing w:before="200" w:after="40"/>
      </w:pPr>
      <w:r>
        <w:rPr>
          <w:rFonts w:ascii="游ゴシック" w:hAnsi="游ゴシック" w:eastAsia="游ゴシック"/>
          <w:b/>
          <w:i w:val="0"/>
          <w:color w:val="1F4D78"/>
          <w:sz w:val="22"/>
        </w:rPr>
        <w:t>【表2】そのほか調和の相手方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268"/>
        <w:gridCol w:w="4989"/>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989"/>
            <w:shd w:val="clear" w:fill="1F3864"/>
            <w:vAlign w:val="center"/>
          </w:tcPr>
          <w:p>
            <w:pPr>
              <w:spacing w:before="20" w:after="20"/>
              <w:jc w:val="center"/>
            </w:pPr>
            <w:r>
              <w:rPr>
                <w:rFonts w:ascii="游ゴシック" w:hAnsi="游ゴシック" w:eastAsia="游ゴシック"/>
                <w:b/>
                <w:i w:val="0"/>
                <w:color w:val="FFFFFF"/>
                <w:sz w:val="17"/>
              </w:rPr>
              <w:t>なぜ要るか</w:t>
            </w:r>
          </w:p>
        </w:tc>
      </w:tr>
      <w:tr>
        <w:tc>
          <w:tcPr>
            <w:tcW w:type="dxa" w:w="2494"/>
            <w:vAlign w:val="center"/>
          </w:tcPr>
          <w:p>
            <w:pPr>
              <w:spacing w:before="20" w:after="20"/>
            </w:pPr>
            <w:r>
              <w:rPr>
                <w:rFonts w:ascii="游ゴシック" w:hAnsi="游ゴシック" w:eastAsia="游ゴシック"/>
                <w:b/>
                <w:i w:val="0"/>
                <w:sz w:val="17"/>
              </w:rPr>
              <w:t>市町村健康増進計画</w:t>
            </w:r>
          </w:p>
        </w:tc>
        <w:tc>
          <w:tcPr>
            <w:tcW w:type="dxa" w:w="2268"/>
            <w:vAlign w:val="center"/>
          </w:tcPr>
          <w:p>
            <w:pPr>
              <w:spacing w:before="20" w:after="20"/>
            </w:pPr>
            <w:r>
              <w:rPr>
                <w:rFonts w:ascii="游ゴシック" w:hAnsi="游ゴシック" w:eastAsia="游ゴシック"/>
                <w:b w:val="0"/>
                <w:i w:val="0"/>
                <w:sz w:val="17"/>
              </w:rPr>
              <w:t>健康増進法第8条第2項</w:t>
            </w:r>
          </w:p>
        </w:tc>
        <w:tc>
          <w:tcPr>
            <w:tcW w:type="dxa" w:w="4989"/>
            <w:vAlign w:val="center"/>
          </w:tcPr>
          <w:p>
            <w:pPr>
              <w:spacing w:before="20" w:after="20"/>
            </w:pPr>
            <w:r>
              <w:rPr>
                <w:rFonts w:ascii="游ゴシック" w:hAnsi="游ゴシック" w:eastAsia="游ゴシック"/>
                <w:b/>
                <w:i w:val="0"/>
                <w:sz w:val="17"/>
              </w:rPr>
              <w:t>国の基本指針が調和の相手方として挙げている。</w:t>
            </w:r>
            <w:r>
              <w:rPr>
                <w:rFonts w:ascii="游ゴシック" w:hAnsi="游ゴシック" w:eastAsia="游ゴシック"/>
                <w:b w:val="0"/>
                <w:i w:val="0"/>
                <w:sz w:val="17"/>
              </w:rPr>
              <w:t>高齢者の保健事業と介護予防の一体的実施に直結する</w:t>
            </w:r>
          </w:p>
        </w:tc>
      </w:tr>
      <w:tr>
        <w:tc>
          <w:tcPr>
            <w:tcW w:type="dxa" w:w="2494"/>
            <w:vAlign w:val="center"/>
          </w:tcPr>
          <w:p>
            <w:pPr>
              <w:spacing w:before="20" w:after="20"/>
            </w:pPr>
            <w:r>
              <w:rPr>
                <w:rFonts w:ascii="游ゴシック" w:hAnsi="游ゴシック" w:eastAsia="游ゴシック"/>
                <w:b w:val="0"/>
                <w:i w:val="0"/>
                <w:sz w:val="17"/>
              </w:rPr>
              <w:t>データヘルス計画・特定健康診査等実施計画</w:t>
            </w:r>
          </w:p>
        </w:tc>
        <w:tc>
          <w:tcPr>
            <w:tcW w:type="dxa" w:w="2268"/>
            <w:vAlign w:val="center"/>
          </w:tcPr>
          <w:p>
            <w:pPr>
              <w:spacing w:before="20" w:after="20"/>
            </w:pPr>
            <w:r>
              <w:rPr>
                <w:rFonts w:ascii="游ゴシック" w:hAnsi="游ゴシック" w:eastAsia="游ゴシック"/>
                <w:b w:val="0"/>
                <w:i w:val="0"/>
                <w:sz w:val="17"/>
              </w:rPr>
              <w:t>高齢者医療確保法ほか</w:t>
            </w:r>
          </w:p>
        </w:tc>
        <w:tc>
          <w:tcPr>
            <w:tcW w:type="dxa" w:w="4989"/>
            <w:vAlign w:val="center"/>
          </w:tcPr>
          <w:p>
            <w:pPr>
              <w:spacing w:before="20" w:after="20"/>
            </w:pPr>
            <w:r>
              <w:rPr>
                <w:rFonts w:ascii="游ゴシック" w:hAnsi="游ゴシック" w:eastAsia="游ゴシック"/>
                <w:b w:val="0"/>
                <w:i w:val="0"/>
                <w:sz w:val="17"/>
              </w:rPr>
              <w:t>同上。第5章 基本目標1の成果指標（特定健診受診率）の根拠</w:t>
            </w:r>
          </w:p>
        </w:tc>
      </w:tr>
      <w:tr>
        <w:tc>
          <w:tcPr>
            <w:tcW w:type="dxa" w:w="2494"/>
            <w:vAlign w:val="center"/>
          </w:tcPr>
          <w:p>
            <w:pPr>
              <w:keepNext/>
              <w:spacing w:before="20" w:after="20"/>
            </w:pPr>
            <w:r>
              <w:rPr>
                <w:rFonts w:ascii="游ゴシック" w:hAnsi="游ゴシック" w:eastAsia="游ゴシック"/>
                <w:b/>
                <w:i w:val="0"/>
                <w:sz w:val="17"/>
              </w:rPr>
              <w:t>生涯活躍のまち形成事業計画</w:t>
            </w:r>
          </w:p>
        </w:tc>
        <w:tc>
          <w:tcPr>
            <w:tcW w:type="dxa" w:w="2268"/>
            <w:vAlign w:val="center"/>
          </w:tcPr>
          <w:p>
            <w:pPr>
              <w:keepNext/>
              <w:spacing w:before="20" w:after="20"/>
            </w:pPr>
            <w:r>
              <w:rPr>
                <w:rFonts w:ascii="游ゴシック" w:hAnsi="游ゴシック" w:eastAsia="游ゴシック"/>
                <w:b w:val="0"/>
                <w:i w:val="0"/>
                <w:sz w:val="17"/>
              </w:rPr>
              <w:t>地域再生法</w:t>
            </w:r>
          </w:p>
        </w:tc>
        <w:tc>
          <w:tcPr>
            <w:tcW w:type="dxa" w:w="4989"/>
            <w:vAlign w:val="center"/>
          </w:tcPr>
          <w:p>
            <w:pPr>
              <w:keepNext/>
              <w:spacing w:before="20" w:after="20"/>
            </w:pPr>
            <w:r>
              <w:rPr>
                <w:rFonts w:ascii="游ゴシック" w:hAnsi="游ゴシック" w:eastAsia="游ゴシック"/>
                <w:b/>
                <w:i w:val="0"/>
                <w:sz w:val="17"/>
              </w:rPr>
              <w:t>国の基本指針が調和の相手方として挙げている。</w:t>
            </w:r>
            <w:r>
              <w:rPr>
                <w:rFonts w:ascii="游ゴシック" w:hAnsi="游ゴシック" w:eastAsia="游ゴシック"/>
                <w:b w:val="0"/>
                <w:i w:val="0"/>
                <w:sz w:val="17"/>
              </w:rPr>
              <w:t>町が定めているかを確かめる</w:t>
            </w:r>
          </w:p>
        </w:tc>
      </w:tr>
      <w:tr>
        <w:tc>
          <w:tcPr>
            <w:tcW w:type="dxa" w:w="2494"/>
            <w:vAlign w:val="center"/>
          </w:tcPr>
          <w:p>
            <w:pPr>
              <w:spacing w:before="20" w:after="20"/>
            </w:pPr>
            <w:r>
              <w:rPr>
                <w:rFonts w:ascii="游ゴシック" w:hAnsi="游ゴシック" w:eastAsia="游ゴシック"/>
                <w:b w:val="0"/>
                <w:i w:val="0"/>
                <w:sz w:val="17"/>
              </w:rPr>
              <w:t>成年後見制度利用促進基本計画</w:t>
            </w:r>
          </w:p>
        </w:tc>
        <w:tc>
          <w:tcPr>
            <w:tcW w:type="dxa" w:w="2268"/>
            <w:vAlign w:val="center"/>
          </w:tcPr>
          <w:p>
            <w:pPr>
              <w:spacing w:before="20" w:after="20"/>
            </w:pPr>
            <w:r>
              <w:rPr>
                <w:rFonts w:ascii="游ゴシック" w:hAnsi="游ゴシック" w:eastAsia="游ゴシック"/>
                <w:b w:val="0"/>
                <w:i w:val="0"/>
                <w:sz w:val="17"/>
              </w:rPr>
              <w:t>成年後見制度利用促進法第14条</w:t>
            </w:r>
          </w:p>
        </w:tc>
        <w:tc>
          <w:tcPr>
            <w:tcW w:type="dxa" w:w="4989"/>
            <w:vAlign w:val="center"/>
          </w:tcPr>
          <w:p>
            <w:pPr>
              <w:spacing w:before="20" w:after="20"/>
            </w:pPr>
            <w:r>
              <w:rPr>
                <w:rFonts w:ascii="游ゴシック" w:hAnsi="游ゴシック" w:eastAsia="游ゴシック"/>
                <w:b/>
                <w:i w:val="0"/>
                <w:sz w:val="17"/>
              </w:rPr>
              <w:t>素案は第6章で一体策定とする旨を書いている。</w:t>
            </w:r>
            <w:r>
              <w:rPr>
                <w:rFonts w:ascii="游ゴシック" w:hAnsi="游ゴシック" w:eastAsia="游ゴシック"/>
                <w:b w:val="0"/>
                <w:i w:val="0"/>
                <w:sz w:val="17"/>
              </w:rPr>
              <w:t>第3期地域福祉計画との役割分担を確かめる</w:t>
            </w:r>
          </w:p>
        </w:tc>
      </w:tr>
    </w:tbl>
    <w:p>
      <w:pPr>
        <w:spacing w:after="40"/>
      </w:pPr>
    </w:p>
    <w:p>
      <w:pPr>
        <w:pStyle w:val="Heading1"/>
        <w:keepNext/>
        <w:spacing w:before="240" w:after="100"/>
      </w:pPr>
      <w:bookmarkStart w:id="106" w:name="_Toc_006"/>
      <w:r>
        <w:rPr>
          <w:rFonts w:ascii="游ゴシック" w:hAnsi="游ゴシック" w:eastAsia="游ゴシック"/>
          <w:b/>
          <w:i w:val="0"/>
          <w:color w:val="2E74B5"/>
          <w:sz w:val="30"/>
        </w:rPr>
        <w:t>5　条番号の落とし穴（3件）</w:t>
      </w:r>
      <w:bookmarkEnd w:id="106"/>
    </w:p>
    <w:p>
      <w:pPr>
        <w:spacing w:before="60" w:after="60"/>
      </w:pPr>
      <w:r>
        <w:rPr>
          <w:rFonts w:ascii="游ゴシック" w:hAnsi="游ゴシック" w:eastAsia="游ゴシック"/>
          <w:b/>
          <w:i w:val="0"/>
          <w:sz w:val="21"/>
        </w:rPr>
        <w:t>いずれも「既存の文献の条番号がそのままでは使えない」というものです。</w:t>
      </w:r>
    </w:p>
    <w:p>
      <w:pPr>
        <w:pStyle w:val="Heading3"/>
        <w:keepNext/>
        <w:spacing w:before="180" w:after="80"/>
      </w:pPr>
      <w:r>
        <w:rPr>
          <w:rFonts w:ascii="游ゴシック" w:hAnsi="游ゴシック" w:eastAsia="游ゴシック"/>
          <w:b/>
          <w:i w:val="0"/>
          <w:color w:val="1F4D78"/>
          <w:sz w:val="22"/>
        </w:rPr>
        <w:t>介護保険法第117条の項番号が、令和9年4月1日から1つずつ繰り下がる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keepNext/>
              <w:spacing w:before="20" w:after="20"/>
            </w:pPr>
            <w:r>
              <w:rPr>
                <w:rFonts w:ascii="游ゴシック" w:hAnsi="游ゴシック" w:eastAsia="游ゴシック"/>
                <w:b w:val="0"/>
                <w:i w:val="0"/>
                <w:sz w:val="17"/>
              </w:rPr>
              <w:t>確かめたこと</w:t>
            </w:r>
          </w:p>
        </w:tc>
        <w:tc>
          <w:tcPr>
            <w:tcW w:type="dxa" w:w="8050"/>
            <w:vAlign w:val="center"/>
          </w:tcPr>
          <w:p>
            <w:pPr>
              <w:keepNext/>
              <w:spacing w:before="20" w:after="20"/>
            </w:pPr>
            <w:r>
              <w:rPr>
                <w:rFonts w:ascii="游ゴシック" w:hAnsi="游ゴシック" w:eastAsia="游ゴシック"/>
                <w:b/>
                <w:i w:val="0"/>
                <w:sz w:val="17"/>
              </w:rPr>
              <w:t>新旧対照条文で確認済み。</w:t>
            </w:r>
            <w:r>
              <w:rPr>
                <w:rFonts w:ascii="游ゴシック" w:hAnsi="游ゴシック" w:eastAsia="游ゴシック"/>
                <w:b w:val="0"/>
                <w:i w:val="0"/>
                <w:sz w:val="17"/>
              </w:rPr>
              <w:t xml:space="preserve"> 改正により</w:t>
            </w:r>
            <w:r>
              <w:rPr>
                <w:rFonts w:ascii="游ゴシック" w:hAnsi="游ゴシック" w:eastAsia="游ゴシック"/>
                <w:b/>
                <w:i w:val="0"/>
                <w:sz w:val="17"/>
              </w:rPr>
              <w:t>第5項（勘案義務）が新設</w:t>
            </w:r>
            <w:r>
              <w:rPr>
                <w:rFonts w:ascii="游ゴシック" w:hAnsi="游ゴシック" w:eastAsia="游ゴシック"/>
                <w:b w:val="0"/>
                <w:i w:val="0"/>
                <w:sz w:val="17"/>
              </w:rPr>
              <w:t>され、「６〜８（略）／５〜７（略）」「９／８」「14／13」と対応している。すなわち</w:t>
            </w:r>
            <w:r>
              <w:rPr>
                <w:rFonts w:ascii="游ゴシック" w:hAnsi="游ゴシック" w:eastAsia="游ゴシック"/>
                <w:b/>
                <w:i w:val="0"/>
                <w:sz w:val="17"/>
              </w:rPr>
              <w:t>現行の第5項以降は、改正後はすべて1つ後ろにずれる</w:t>
            </w:r>
          </w:p>
        </w:tc>
      </w:tr>
      <w:tr>
        <w:tc>
          <w:tcPr>
            <w:tcW w:type="dxa" w:w="1701"/>
            <w:vAlign w:val="center"/>
          </w:tcPr>
          <w:p>
            <w:pPr>
              <w:spacing w:before="20" w:after="20"/>
            </w:pPr>
            <w:r>
              <w:rPr>
                <w:rFonts w:ascii="游ゴシック" w:hAnsi="游ゴシック" w:eastAsia="游ゴシック"/>
                <w:b/>
                <w:i w:val="0"/>
                <w:sz w:val="17"/>
              </w:rPr>
              <w:t>どうするか</w:t>
            </w:r>
          </w:p>
        </w:tc>
        <w:tc>
          <w:tcPr>
            <w:tcW w:type="dxa" w:w="8050"/>
            <w:vAlign w:val="center"/>
          </w:tcPr>
          <w:p>
            <w:pPr>
              <w:spacing w:before="20" w:after="20"/>
            </w:pPr>
            <w:r>
              <w:rPr>
                <w:rFonts w:ascii="游ゴシック" w:hAnsi="游ゴシック" w:eastAsia="游ゴシック"/>
                <w:b/>
                <w:i w:val="0"/>
                <w:sz w:val="17"/>
              </w:rPr>
              <w:t>既存の文献・県の様式・他団体の計画が引く項番号は、令和9年4月1日以後そのままでは使えない。</w:t>
            </w:r>
            <w:r>
              <w:rPr>
                <w:rFonts w:ascii="游ゴシック" w:hAnsi="游ゴシック" w:eastAsia="游ゴシック"/>
                <w:b w:val="0"/>
                <w:i w:val="0"/>
                <w:sz w:val="17"/>
              </w:rPr>
              <w:t>本計画は計画期間の初日が施行日であるため、</w:t>
            </w:r>
            <w:r>
              <w:rPr>
                <w:rFonts w:ascii="游ゴシック" w:hAnsi="游ゴシック" w:eastAsia="游ゴシック"/>
                <w:b/>
                <w:i w:val="0"/>
                <w:sz w:val="17"/>
              </w:rPr>
              <w:t>改正後の番号で書く</w:t>
            </w:r>
          </w:p>
        </w:tc>
      </w:tr>
    </w:tbl>
    <w:p>
      <w:pPr>
        <w:spacing w:after="40"/>
      </w:pPr>
    </w:p>
    <w:p>
      <w:pPr>
        <w:pStyle w:val="Heading3"/>
        <w:keepNext/>
        <w:spacing w:before="180" w:after="80"/>
      </w:pPr>
      <w:r>
        <w:rPr>
          <w:rFonts w:ascii="游ゴシック" w:hAnsi="游ゴシック" w:eastAsia="游ゴシック"/>
          <w:b/>
          <w:i w:val="0"/>
          <w:color w:val="1F4D78"/>
          <w:sz w:val="22"/>
        </w:rPr>
        <w:t>住宅セーフティネット法の居住支援協議会の条番号が変わっている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keepNext/>
              <w:spacing w:before="20" w:after="20"/>
            </w:pPr>
            <w:r>
              <w:rPr>
                <w:rFonts w:ascii="游ゴシック" w:hAnsi="游ゴシック" w:eastAsia="游ゴシック"/>
                <w:b w:val="0"/>
                <w:i w:val="0"/>
                <w:sz w:val="17"/>
              </w:rPr>
              <w:t>確かめたこと</w:t>
            </w:r>
          </w:p>
        </w:tc>
        <w:tc>
          <w:tcPr>
            <w:tcW w:type="dxa" w:w="8050"/>
            <w:vAlign w:val="center"/>
          </w:tcPr>
          <w:p>
            <w:pPr>
              <w:keepNext/>
              <w:spacing w:before="20" w:after="20"/>
            </w:pPr>
            <w:r>
              <w:rPr>
                <w:rFonts w:ascii="游ゴシック" w:hAnsi="游ゴシック" w:eastAsia="游ゴシック"/>
                <w:b/>
                <w:i w:val="0"/>
                <w:sz w:val="17"/>
              </w:rPr>
              <w:t>新旧対照条文（介護保険法第115条の48第5項）は「第八十一条第一項に規定する支援協議会」と書いている。</w:t>
            </w:r>
            <w:r>
              <w:rPr>
                <w:rFonts w:ascii="游ゴシック" w:hAnsi="游ゴシック" w:eastAsia="游ゴシック"/>
                <w:b w:val="0"/>
                <w:i w:val="0"/>
                <w:sz w:val="17"/>
              </w:rPr>
              <w:t>一方、従前の文献・自治体資料の多くは</w:t>
            </w:r>
            <w:r>
              <w:rPr>
                <w:rFonts w:ascii="游ゴシック" w:hAnsi="游ゴシック" w:eastAsia="游ゴシック"/>
                <w:b/>
                <w:i w:val="0"/>
                <w:sz w:val="17"/>
              </w:rPr>
              <w:t>第51条第1項</w:t>
            </w:r>
            <w:r>
              <w:rPr>
                <w:rFonts w:ascii="游ゴシック" w:hAnsi="游ゴシック" w:eastAsia="游ゴシック"/>
                <w:b w:val="0"/>
                <w:i w:val="0"/>
                <w:sz w:val="17"/>
              </w:rPr>
              <w:t>としている</w:t>
            </w:r>
          </w:p>
        </w:tc>
      </w:tr>
      <w:tr>
        <w:tc>
          <w:tcPr>
            <w:tcW w:type="dxa" w:w="1701"/>
            <w:vAlign w:val="center"/>
          </w:tcPr>
          <w:p>
            <w:pPr>
              <w:spacing w:before="20" w:after="20"/>
            </w:pPr>
            <w:r>
              <w:rPr>
                <w:rFonts w:ascii="游ゴシック" w:hAnsi="游ゴシック" w:eastAsia="游ゴシック"/>
                <w:b/>
                <w:i w:val="0"/>
                <w:sz w:val="17"/>
              </w:rPr>
              <w:t>どうするか</w:t>
            </w:r>
          </w:p>
        </w:tc>
        <w:tc>
          <w:tcPr>
            <w:tcW w:type="dxa" w:w="8050"/>
            <w:vAlign w:val="center"/>
          </w:tcPr>
          <w:p>
            <w:pPr>
              <w:spacing w:before="20" w:after="20"/>
            </w:pPr>
            <w:r>
              <w:rPr>
                <w:rFonts w:ascii="游ゴシック" w:hAnsi="游ゴシック" w:eastAsia="游ゴシック"/>
                <w:b/>
                <w:i w:val="0"/>
                <w:sz w:val="17"/>
              </w:rPr>
              <w:t>同法の改正により条番号が繰り下がったものとみられる。</w:t>
            </w:r>
            <w:r>
              <w:rPr>
                <w:rFonts w:ascii="游ゴシック" w:hAnsi="游ゴシック" w:eastAsia="游ゴシック"/>
                <w:b w:val="0"/>
                <w:i w:val="0"/>
                <w:sz w:val="17"/>
              </w:rPr>
              <w:t>介護保険法の条文が引いている</w:t>
            </w:r>
            <w:r>
              <w:rPr>
                <w:rFonts w:ascii="游ゴシック" w:hAnsi="游ゴシック" w:eastAsia="游ゴシック"/>
                <w:b/>
                <w:i w:val="0"/>
                <w:sz w:val="17"/>
              </w:rPr>
              <w:t>第81条第1項</w:t>
            </w:r>
            <w:r>
              <w:rPr>
                <w:rFonts w:ascii="游ゴシック" w:hAnsi="游ゴシック" w:eastAsia="游ゴシック"/>
                <w:b w:val="0"/>
                <w:i w:val="0"/>
                <w:sz w:val="17"/>
              </w:rPr>
              <w:t>が改正後の番号である。</w:t>
            </w:r>
            <w:r>
              <w:rPr>
                <w:rFonts w:ascii="游ゴシック" w:hAnsi="游ゴシック" w:eastAsia="游ゴシック"/>
                <w:b/>
                <w:i w:val="0"/>
                <w:sz w:val="17"/>
              </w:rPr>
              <w:t>第51条のまま引くと、施行日に誤りになる</w:t>
            </w:r>
          </w:p>
        </w:tc>
      </w:tr>
    </w:tbl>
    <w:p>
      <w:pPr>
        <w:spacing w:after="40"/>
      </w:pPr>
    </w:p>
    <w:p>
      <w:pPr>
        <w:pStyle w:val="Heading3"/>
        <w:keepNext/>
        <w:spacing w:before="180" w:after="80"/>
      </w:pPr>
      <w:r>
        <w:rPr>
          <w:rFonts w:ascii="游ゴシック" w:hAnsi="游ゴシック" w:eastAsia="游ゴシック"/>
          <w:b/>
          <w:i w:val="0"/>
          <w:color w:val="1F4D78"/>
          <w:sz w:val="22"/>
        </w:rPr>
        <w:t>他町村の案件の法定記載事項チェックに、項番号の食い違いが1件ある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keepNext/>
              <w:spacing w:before="20" w:after="20"/>
            </w:pPr>
            <w:r>
              <w:rPr>
                <w:rFonts w:ascii="游ゴシック" w:hAnsi="游ゴシック" w:eastAsia="游ゴシック"/>
                <w:b w:val="0"/>
                <w:i w:val="0"/>
                <w:sz w:val="17"/>
              </w:rPr>
              <w:t>確かめたこと</w:t>
            </w:r>
          </w:p>
        </w:tc>
        <w:tc>
          <w:tcPr>
            <w:tcW w:type="dxa" w:w="8050"/>
            <w:vAlign w:val="center"/>
          </w:tcPr>
          <w:p>
            <w:pPr>
              <w:keepNext/>
              <w:spacing w:before="20" w:after="20"/>
            </w:pPr>
            <w:r>
              <w:rPr>
                <w:rFonts w:ascii="游ゴシック" w:hAnsi="游ゴシック" w:eastAsia="游ゴシック"/>
                <w:b w:val="0"/>
                <w:i w:val="0"/>
                <w:sz w:val="17"/>
              </w:rPr>
              <w:t>同案件は「第117条</w:t>
            </w:r>
            <w:r>
              <w:rPr>
                <w:rFonts w:ascii="游ゴシック" w:hAnsi="游ゴシック" w:eastAsia="游ゴシック"/>
                <w:b/>
                <w:i w:val="0"/>
                <w:sz w:val="17"/>
              </w:rPr>
              <w:t>第5項</w:t>
            </w:r>
            <w:r>
              <w:rPr>
                <w:rFonts w:ascii="游ゴシック" w:hAnsi="游ゴシック" w:eastAsia="游ゴシック"/>
                <w:b w:val="0"/>
                <w:i w:val="0"/>
                <w:sz w:val="17"/>
              </w:rPr>
              <w:t xml:space="preserve"> 医療計画との整合の確保（義務）」としている。一方、厚生労働省の資料は</w:t>
            </w:r>
            <w:r>
              <w:rPr>
                <w:rFonts w:ascii="游ゴシック" w:hAnsi="游ゴシック" w:eastAsia="游ゴシック"/>
                <w:b/>
                <w:i w:val="0"/>
                <w:sz w:val="17"/>
              </w:rPr>
              <w:t>第5項を「日常生活圏域ごとの被保険者の心身の状況等の把握」</w:t>
            </w:r>
            <w:r>
              <w:rPr>
                <w:rFonts w:ascii="游ゴシック" w:hAnsi="游ゴシック" w:eastAsia="游ゴシック"/>
                <w:b w:val="0"/>
                <w:i w:val="0"/>
                <w:sz w:val="17"/>
              </w:rPr>
              <w:t>としており、食い違う</w:t>
            </w:r>
          </w:p>
        </w:tc>
      </w:tr>
      <w:tr>
        <w:tc>
          <w:tcPr>
            <w:tcW w:type="dxa" w:w="1701"/>
            <w:vAlign w:val="center"/>
          </w:tcPr>
          <w:p>
            <w:pPr>
              <w:spacing w:before="20" w:after="20"/>
            </w:pPr>
            <w:r>
              <w:rPr>
                <w:rFonts w:ascii="游ゴシック" w:hAnsi="游ゴシック" w:eastAsia="游ゴシック"/>
                <w:b/>
                <w:i w:val="0"/>
                <w:sz w:val="17"/>
              </w:rPr>
              <w:t>どうするか</w:t>
            </w:r>
          </w:p>
        </w:tc>
        <w:tc>
          <w:tcPr>
            <w:tcW w:type="dxa" w:w="8050"/>
            <w:vAlign w:val="center"/>
          </w:tcPr>
          <w:p>
            <w:pPr>
              <w:spacing w:before="20" w:after="20"/>
            </w:pPr>
            <w:r>
              <w:rPr>
                <w:rFonts w:ascii="游ゴシック" w:hAnsi="游ゴシック" w:eastAsia="游ゴシック"/>
                <w:b/>
                <w:i w:val="0"/>
                <w:sz w:val="17"/>
              </w:rPr>
              <w:t>当方はどちらとも断定しない。</w:t>
            </w:r>
            <w:r>
              <w:rPr>
                <w:rFonts w:ascii="游ゴシック" w:hAnsi="游ゴシック" w:eastAsia="游ゴシック"/>
                <w:b w:val="0"/>
                <w:i w:val="0"/>
                <w:sz w:val="17"/>
              </w:rPr>
              <w:t xml:space="preserve"> 同案件自身が「条文を直接読むことができなかった」と断っている。</w:t>
            </w:r>
            <w:r>
              <w:rPr>
                <w:rFonts w:ascii="游ゴシック" w:hAnsi="游ゴシック" w:eastAsia="游ゴシック"/>
                <w:b/>
                <w:i w:val="0"/>
                <w:sz w:val="17"/>
              </w:rPr>
              <w:t>本計画では、項番号を書く前に条文で確かめる</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6　照会に足すもの（7件）</w:t>
      </w:r>
      <w:bookmarkEnd w:id="107"/>
    </w:p>
    <w:p>
      <w:pPr>
        <w:keepNext/>
        <w:spacing w:before="200" w:after="40"/>
      </w:pPr>
      <w:r>
        <w:rPr>
          <w:rFonts w:ascii="游ゴシック" w:hAnsi="游ゴシック" w:eastAsia="游ゴシック"/>
          <w:b/>
          <w:i w:val="0"/>
          <w:color w:val="1F4D78"/>
          <w:sz w:val="22"/>
        </w:rPr>
        <w:t>【表3】照会に足すもの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794"/>
        <w:gridCol w:w="3515"/>
        <w:gridCol w:w="3628"/>
        <w:gridCol w:w="1134"/>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宛先</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何に効くか</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680"/>
            <w:vAlign w:val="center"/>
          </w:tcPr>
          <w:p>
            <w:pPr>
              <w:spacing w:before="20" w:after="20"/>
            </w:pPr>
            <w:r>
              <w:rPr>
                <w:rFonts w:ascii="游ゴシック" w:hAnsi="游ゴシック" w:eastAsia="游ゴシック"/>
                <w:b w:val="0"/>
                <w:i w:val="0"/>
                <w:sz w:val="17"/>
              </w:rPr>
              <w:t>D-1</w:t>
            </w:r>
          </w:p>
        </w:tc>
        <w:tc>
          <w:tcPr>
            <w:tcW w:type="dxa" w:w="794"/>
            <w:vAlign w:val="center"/>
          </w:tcPr>
          <w:p>
            <w:pPr>
              <w:spacing w:before="20" w:after="20"/>
            </w:pPr>
            <w:r>
              <w:rPr>
                <w:rFonts w:ascii="游ゴシック" w:hAnsi="游ゴシック" w:eastAsia="游ゴシック"/>
                <w:b w:val="0"/>
                <w:i w:val="0"/>
                <w:sz w:val="17"/>
              </w:rPr>
              <w:t>町</w:t>
            </w:r>
          </w:p>
        </w:tc>
        <w:tc>
          <w:tcPr>
            <w:tcW w:type="dxa" w:w="3515"/>
            <w:vAlign w:val="center"/>
          </w:tcPr>
          <w:p>
            <w:pPr>
              <w:spacing w:before="20" w:after="20"/>
            </w:pPr>
            <w:r>
              <w:rPr>
                <w:rFonts w:ascii="游ゴシック" w:hAnsi="游ゴシック" w:eastAsia="游ゴシック"/>
                <w:b/>
                <w:i w:val="0"/>
                <w:sz w:val="17"/>
              </w:rPr>
              <w:t>町が市町村高齢者居住安定確保計画・市町村賃貸住宅供給促進計画を定めているか</w:t>
            </w:r>
          </w:p>
        </w:tc>
        <w:tc>
          <w:tcPr>
            <w:tcW w:type="dxa" w:w="3628"/>
            <w:vAlign w:val="center"/>
          </w:tcPr>
          <w:p>
            <w:pPr>
              <w:spacing w:before="20" w:after="20"/>
            </w:pPr>
            <w:r>
              <w:rPr>
                <w:rFonts w:ascii="游ゴシック" w:hAnsi="游ゴシック" w:eastAsia="游ゴシック"/>
                <w:b w:val="0"/>
                <w:i w:val="0"/>
                <w:sz w:val="17"/>
              </w:rPr>
              <w:t>関連計画の表。定めていなければ「定めていない」と書く</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D-2</w:t>
            </w:r>
          </w:p>
        </w:tc>
        <w:tc>
          <w:tcPr>
            <w:tcW w:type="dxa" w:w="794"/>
            <w:vAlign w:val="center"/>
          </w:tcPr>
          <w:p>
            <w:pPr>
              <w:spacing w:before="20" w:after="20"/>
            </w:pPr>
            <w:r>
              <w:rPr>
                <w:rFonts w:ascii="游ゴシック" w:hAnsi="游ゴシック" w:eastAsia="游ゴシック"/>
                <w:b w:val="0"/>
                <w:i w:val="0"/>
                <w:sz w:val="17"/>
              </w:rPr>
              <w:t>町</w:t>
            </w:r>
          </w:p>
        </w:tc>
        <w:tc>
          <w:tcPr>
            <w:tcW w:type="dxa" w:w="3515"/>
            <w:vAlign w:val="center"/>
          </w:tcPr>
          <w:p>
            <w:pPr>
              <w:spacing w:before="20" w:after="20"/>
            </w:pPr>
            <w:r>
              <w:rPr>
                <w:rFonts w:ascii="游ゴシック" w:hAnsi="游ゴシック" w:eastAsia="游ゴシック"/>
                <w:b/>
                <w:i w:val="0"/>
                <w:sz w:val="17"/>
              </w:rPr>
              <w:t>町営住宅・公営住宅の高齢者向け住戸の有無とバリアフリー化の状況</w:t>
            </w:r>
            <w:r>
              <w:rPr>
                <w:rFonts w:ascii="游ゴシック" w:hAnsi="游ゴシック" w:eastAsia="游ゴシック"/>
                <w:b w:val="0"/>
                <w:i w:val="0"/>
                <w:sz w:val="17"/>
              </w:rPr>
              <w:t>、公営住宅等長寿命化計画の有無</w:t>
            </w:r>
          </w:p>
        </w:tc>
        <w:tc>
          <w:tcPr>
            <w:tcW w:type="dxa" w:w="3628"/>
            <w:vAlign w:val="center"/>
          </w:tcPr>
          <w:p>
            <w:pPr>
              <w:spacing w:before="20" w:after="20"/>
            </w:pPr>
            <w:r>
              <w:rPr>
                <w:rFonts w:ascii="游ゴシック" w:hAnsi="游ゴシック" w:eastAsia="游ゴシック"/>
                <w:b w:val="0"/>
                <w:i w:val="0"/>
                <w:sz w:val="17"/>
              </w:rPr>
              <w:t>第5章の住まいの施策。</w:t>
            </w:r>
            <w:r>
              <w:rPr>
                <w:rFonts w:ascii="游ゴシック" w:hAnsi="游ゴシック" w:eastAsia="游ゴシック"/>
                <w:b/>
                <w:i w:val="0"/>
                <w:sz w:val="17"/>
              </w:rPr>
              <w:t>在宅生活の継続の前提</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D-3</w:t>
            </w:r>
          </w:p>
        </w:tc>
        <w:tc>
          <w:tcPr>
            <w:tcW w:type="dxa" w:w="794"/>
            <w:vAlign w:val="center"/>
          </w:tcPr>
          <w:p>
            <w:pPr>
              <w:spacing w:before="20" w:after="20"/>
            </w:pPr>
            <w:r>
              <w:rPr>
                <w:rFonts w:ascii="游ゴシック" w:hAnsi="游ゴシック" w:eastAsia="游ゴシック"/>
                <w:b w:val="0"/>
                <w:i w:val="0"/>
                <w:sz w:val="17"/>
              </w:rPr>
              <w:t>町</w:t>
            </w:r>
          </w:p>
        </w:tc>
        <w:tc>
          <w:tcPr>
            <w:tcW w:type="dxa" w:w="3515"/>
            <w:vAlign w:val="center"/>
          </w:tcPr>
          <w:p>
            <w:pPr>
              <w:spacing w:before="20" w:after="20"/>
            </w:pPr>
            <w:r>
              <w:rPr>
                <w:rFonts w:ascii="游ゴシック" w:hAnsi="游ゴシック" w:eastAsia="游ゴシック"/>
                <w:b/>
                <w:i w:val="0"/>
                <w:sz w:val="17"/>
              </w:rPr>
              <w:t>住宅確保要配慮者居住支援協議会が町にあるか</w:t>
            </w:r>
            <w:r>
              <w:rPr>
                <w:rFonts w:ascii="游ゴシック" w:hAnsi="游ゴシック" w:eastAsia="游ゴシック"/>
                <w:b w:val="0"/>
                <w:i w:val="0"/>
                <w:sz w:val="17"/>
              </w:rPr>
              <w:t>。ないときは福島県居住支援協議会との関わり</w:t>
            </w:r>
          </w:p>
        </w:tc>
        <w:tc>
          <w:tcPr>
            <w:tcW w:type="dxa" w:w="3628"/>
            <w:vAlign w:val="center"/>
          </w:tcPr>
          <w:p>
            <w:pPr>
              <w:spacing w:before="20" w:after="20"/>
            </w:pPr>
            <w:r>
              <w:rPr>
                <w:rFonts w:ascii="游ゴシック" w:hAnsi="游ゴシック" w:eastAsia="游ゴシック"/>
                <w:b/>
                <w:i w:val="0"/>
                <w:sz w:val="17"/>
              </w:rPr>
              <w:t>介護保険法第115条の48第5項【新設】の連携の相手方</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D-4</w:t>
            </w:r>
          </w:p>
        </w:tc>
        <w:tc>
          <w:tcPr>
            <w:tcW w:type="dxa" w:w="794"/>
            <w:vAlign w:val="center"/>
          </w:tcPr>
          <w:p>
            <w:pPr>
              <w:spacing w:before="20" w:after="20"/>
            </w:pPr>
            <w:r>
              <w:rPr>
                <w:rFonts w:ascii="游ゴシック" w:hAnsi="游ゴシック" w:eastAsia="游ゴシック"/>
                <w:b w:val="0"/>
                <w:i w:val="0"/>
                <w:sz w:val="17"/>
              </w:rPr>
              <w:t>町</w:t>
            </w:r>
          </w:p>
        </w:tc>
        <w:tc>
          <w:tcPr>
            <w:tcW w:type="dxa" w:w="3515"/>
            <w:vAlign w:val="center"/>
          </w:tcPr>
          <w:p>
            <w:pPr>
              <w:spacing w:before="20" w:after="20"/>
            </w:pPr>
            <w:r>
              <w:rPr>
                <w:rFonts w:ascii="游ゴシック" w:hAnsi="游ゴシック" w:eastAsia="游ゴシック"/>
                <w:b/>
                <w:i w:val="0"/>
                <w:sz w:val="17"/>
              </w:rPr>
              <w:t>町が医療介護総合確保促進法第5条第1項の市町村計画を定めているか</w:t>
            </w:r>
          </w:p>
        </w:tc>
        <w:tc>
          <w:tcPr>
            <w:tcW w:type="dxa" w:w="3628"/>
            <w:vAlign w:val="center"/>
          </w:tcPr>
          <w:p>
            <w:pPr>
              <w:spacing w:before="20" w:after="20"/>
            </w:pPr>
            <w:r>
              <w:rPr>
                <w:rFonts w:ascii="游ゴシック" w:hAnsi="游ゴシック" w:eastAsia="游ゴシック"/>
                <w:b w:val="0"/>
                <w:i w:val="0"/>
                <w:sz w:val="17"/>
              </w:rPr>
              <w:t>整合性の確保の相手方</w:t>
            </w:r>
          </w:p>
        </w:tc>
        <w:tc>
          <w:tcPr>
            <w:tcW w:type="dxa" w:w="1134"/>
            <w:vAlign w:val="center"/>
          </w:tcPr>
          <w:p>
            <w:pPr>
              <w:spacing w:before="20" w:after="20"/>
            </w:pPr>
            <w:r>
              <w:rPr>
                <w:rFonts w:ascii="游ゴシック" w:hAnsi="游ゴシック" w:eastAsia="游ゴシック"/>
                <w:b w:val="0"/>
                <w:i w:val="0"/>
                <w:sz w:val="17"/>
              </w:rPr>
              <w:t>中</w:t>
            </w:r>
          </w:p>
        </w:tc>
      </w:tr>
      <w:tr>
        <w:tc>
          <w:tcPr>
            <w:tcW w:type="dxa" w:w="680"/>
            <w:vAlign w:val="center"/>
          </w:tcPr>
          <w:p>
            <w:pPr>
              <w:spacing w:before="20" w:after="20"/>
            </w:pPr>
            <w:r>
              <w:rPr>
                <w:rFonts w:ascii="游ゴシック" w:hAnsi="游ゴシック" w:eastAsia="游ゴシック"/>
                <w:b w:val="0"/>
                <w:i w:val="0"/>
                <w:sz w:val="17"/>
              </w:rPr>
              <w:t>D-5</w:t>
            </w:r>
          </w:p>
        </w:tc>
        <w:tc>
          <w:tcPr>
            <w:tcW w:type="dxa" w:w="794"/>
            <w:vAlign w:val="center"/>
          </w:tcPr>
          <w:p>
            <w:pPr>
              <w:spacing w:before="20" w:after="20"/>
            </w:pPr>
            <w:r>
              <w:rPr>
                <w:rFonts w:ascii="游ゴシック" w:hAnsi="游ゴシック" w:eastAsia="游ゴシック"/>
                <w:b w:val="0"/>
                <w:i w:val="0"/>
                <w:sz w:val="17"/>
              </w:rPr>
              <w:t>町</w:t>
            </w:r>
          </w:p>
        </w:tc>
        <w:tc>
          <w:tcPr>
            <w:tcW w:type="dxa" w:w="3515"/>
            <w:vAlign w:val="center"/>
          </w:tcPr>
          <w:p>
            <w:pPr>
              <w:spacing w:before="20" w:after="20"/>
            </w:pPr>
            <w:r>
              <w:rPr>
                <w:rFonts w:ascii="游ゴシック" w:hAnsi="游ゴシック" w:eastAsia="游ゴシック"/>
                <w:b w:val="0"/>
                <w:i w:val="0"/>
                <w:sz w:val="17"/>
              </w:rPr>
              <w:t>市町村健康増進計画・データヘルス計画・特定健康診査等実施計画の計画期間と所管</w:t>
            </w:r>
          </w:p>
        </w:tc>
        <w:tc>
          <w:tcPr>
            <w:tcW w:type="dxa" w:w="3628"/>
            <w:vAlign w:val="center"/>
          </w:tcPr>
          <w:p>
            <w:pPr>
              <w:spacing w:before="20" w:after="20"/>
            </w:pPr>
            <w:r>
              <w:rPr>
                <w:rFonts w:ascii="游ゴシック" w:hAnsi="游ゴシック" w:eastAsia="游ゴシック"/>
                <w:b w:val="0"/>
                <w:i w:val="0"/>
                <w:sz w:val="17"/>
              </w:rPr>
              <w:t>調和の相手方。成果指標の根拠にもなる</w:t>
            </w:r>
          </w:p>
        </w:tc>
        <w:tc>
          <w:tcPr>
            <w:tcW w:type="dxa" w:w="1134"/>
            <w:vAlign w:val="center"/>
          </w:tcPr>
          <w:p>
            <w:pPr>
              <w:spacing w:before="20" w:after="20"/>
            </w:pPr>
            <w:r>
              <w:rPr>
                <w:rFonts w:ascii="游ゴシック" w:hAnsi="游ゴシック" w:eastAsia="游ゴシック"/>
                <w:b w:val="0"/>
                <w:i w:val="0"/>
                <w:sz w:val="17"/>
              </w:rPr>
              <w:t>中</w:t>
            </w:r>
          </w:p>
        </w:tc>
      </w:tr>
      <w:tr>
        <w:tc>
          <w:tcPr>
            <w:tcW w:type="dxa" w:w="680"/>
            <w:vAlign w:val="center"/>
          </w:tcPr>
          <w:p>
            <w:pPr>
              <w:keepNext/>
              <w:spacing w:before="20" w:after="20"/>
            </w:pPr>
            <w:r>
              <w:rPr>
                <w:rFonts w:ascii="游ゴシック" w:hAnsi="游ゴシック" w:eastAsia="游ゴシック"/>
                <w:b w:val="0"/>
                <w:i w:val="0"/>
                <w:sz w:val="17"/>
              </w:rPr>
              <w:t>D-6</w:t>
            </w:r>
          </w:p>
        </w:tc>
        <w:tc>
          <w:tcPr>
            <w:tcW w:type="dxa" w:w="794"/>
            <w:vAlign w:val="center"/>
          </w:tcPr>
          <w:p>
            <w:pPr>
              <w:keepNext/>
              <w:spacing w:before="20" w:after="20"/>
            </w:pPr>
            <w:r>
              <w:rPr>
                <w:rFonts w:ascii="游ゴシック" w:hAnsi="游ゴシック" w:eastAsia="游ゴシック"/>
                <w:b w:val="0"/>
                <w:i w:val="0"/>
                <w:sz w:val="17"/>
              </w:rPr>
              <w:t>県</w:t>
            </w:r>
          </w:p>
        </w:tc>
        <w:tc>
          <w:tcPr>
            <w:tcW w:type="dxa" w:w="3515"/>
            <w:vAlign w:val="center"/>
          </w:tcPr>
          <w:p>
            <w:pPr>
              <w:keepNext/>
              <w:spacing w:before="20" w:after="20"/>
            </w:pPr>
            <w:r>
              <w:rPr>
                <w:rFonts w:ascii="游ゴシック" w:hAnsi="游ゴシック" w:eastAsia="游ゴシック"/>
                <w:b/>
                <w:i w:val="0"/>
                <w:sz w:val="17"/>
              </w:rPr>
              <w:t>福島県高齢者居住安定確保計画の改定の予定と内容</w:t>
            </w:r>
            <w:r>
              <w:rPr>
                <w:rFonts w:ascii="游ゴシック" w:hAnsi="游ゴシック" w:eastAsia="游ゴシック"/>
                <w:b w:val="0"/>
                <w:i w:val="0"/>
                <w:sz w:val="17"/>
              </w:rPr>
              <w:t>。あわせて福島県住生活基本計画・福島県賃貸住宅供給促進計画の計画期間</w:t>
            </w:r>
          </w:p>
        </w:tc>
        <w:tc>
          <w:tcPr>
            <w:tcW w:type="dxa" w:w="3628"/>
            <w:vAlign w:val="center"/>
          </w:tcPr>
          <w:p>
            <w:pPr>
              <w:keepNext/>
              <w:spacing w:before="20" w:after="20"/>
            </w:pPr>
            <w:r>
              <w:rPr>
                <w:rFonts w:ascii="游ゴシック" w:hAnsi="游ゴシック" w:eastAsia="游ゴシック"/>
                <w:b/>
                <w:i w:val="0"/>
                <w:sz w:val="17"/>
              </w:rPr>
              <w:t>現行は令和4年3月改定。本計画期間との関係を確かめる</w:t>
            </w:r>
          </w:p>
        </w:tc>
        <w:tc>
          <w:tcPr>
            <w:tcW w:type="dxa" w:w="1134"/>
            <w:vAlign w:val="center"/>
          </w:tcPr>
          <w:p>
            <w:pPr>
              <w:keepNext/>
              <w:spacing w:before="20" w:after="20"/>
            </w:pPr>
            <w:r>
              <w:rPr>
                <w:rFonts w:ascii="游ゴシック" w:hAnsi="游ゴシック" w:eastAsia="游ゴシック"/>
                <w:b/>
                <w:i w:val="0"/>
                <w:sz w:val="17"/>
              </w:rPr>
              <w:t>最優先</w:t>
            </w:r>
          </w:p>
        </w:tc>
      </w:tr>
      <w:tr>
        <w:tc>
          <w:tcPr>
            <w:tcW w:type="dxa" w:w="680"/>
            <w:vAlign w:val="center"/>
          </w:tcPr>
          <w:p>
            <w:pPr>
              <w:spacing w:before="20" w:after="20"/>
            </w:pPr>
            <w:r>
              <w:rPr>
                <w:rFonts w:ascii="游ゴシック" w:hAnsi="游ゴシック" w:eastAsia="游ゴシック"/>
                <w:b w:val="0"/>
                <w:i w:val="0"/>
                <w:sz w:val="17"/>
              </w:rPr>
              <w:t>D-7</w:t>
            </w:r>
          </w:p>
        </w:tc>
        <w:tc>
          <w:tcPr>
            <w:tcW w:type="dxa" w:w="794"/>
            <w:vAlign w:val="center"/>
          </w:tcPr>
          <w:p>
            <w:pPr>
              <w:spacing w:before="20" w:after="20"/>
            </w:pPr>
            <w:r>
              <w:rPr>
                <w:rFonts w:ascii="游ゴシック" w:hAnsi="游ゴシック" w:eastAsia="游ゴシック"/>
                <w:b w:val="0"/>
                <w:i w:val="0"/>
                <w:sz w:val="17"/>
              </w:rPr>
              <w:t>県</w:t>
            </w:r>
          </w:p>
        </w:tc>
        <w:tc>
          <w:tcPr>
            <w:tcW w:type="dxa" w:w="3515"/>
            <w:vAlign w:val="center"/>
          </w:tcPr>
          <w:p>
            <w:pPr>
              <w:spacing w:before="20" w:after="20"/>
            </w:pPr>
            <w:r>
              <w:rPr>
                <w:rFonts w:ascii="游ゴシック" w:hAnsi="游ゴシック" w:eastAsia="游ゴシック"/>
                <w:b/>
                <w:i w:val="0"/>
                <w:sz w:val="17"/>
              </w:rPr>
              <w:t>福島県保健医療計画（第八次）の県中区域の記載</w:t>
            </w:r>
            <w:r>
              <w:rPr>
                <w:rFonts w:ascii="游ゴシック" w:hAnsi="游ゴシック" w:eastAsia="游ゴシック"/>
                <w:b w:val="0"/>
                <w:i w:val="0"/>
                <w:sz w:val="17"/>
              </w:rPr>
              <w:t>と地域医療構想の病床の機能分化・連携</w:t>
            </w:r>
          </w:p>
        </w:tc>
        <w:tc>
          <w:tcPr>
            <w:tcW w:type="dxa" w:w="3628"/>
            <w:vAlign w:val="center"/>
          </w:tcPr>
          <w:p>
            <w:pPr>
              <w:spacing w:before="20" w:after="20"/>
            </w:pPr>
            <w:r>
              <w:rPr>
                <w:rFonts w:ascii="游ゴシック" w:hAnsi="游ゴシック" w:eastAsia="游ゴシック"/>
                <w:b/>
                <w:i w:val="0"/>
                <w:sz w:val="17"/>
              </w:rPr>
              <w:t>整合性の確保は義務</w:t>
            </w:r>
          </w:p>
        </w:tc>
        <w:tc>
          <w:tcPr>
            <w:tcW w:type="dxa" w:w="1134"/>
            <w:vAlign w:val="center"/>
          </w:tcPr>
          <w:p>
            <w:pPr>
              <w:spacing w:before="20" w:after="20"/>
            </w:pPr>
            <w:r>
              <w:rPr>
                <w:rFonts w:ascii="游ゴシック" w:hAnsi="游ゴシック" w:eastAsia="游ゴシック"/>
                <w:b/>
                <w:i w:val="0"/>
                <w:sz w:val="17"/>
              </w:rPr>
              <w:t>最優先</w:t>
            </w:r>
          </w:p>
        </w:tc>
      </w:tr>
    </w:tbl>
    <w:p>
      <w:pPr>
        <w:spacing w:after="40"/>
      </w:pPr>
    </w:p>
    <w:p>
      <w:pPr>
        <w:spacing w:before="60" w:after="60"/>
      </w:pPr>
      <w:r>
        <w:rPr>
          <w:rFonts w:ascii="游ゴシック" w:hAnsi="游ゴシック" w:eastAsia="游ゴシック"/>
          <w:b/>
          <w:i w:val="0"/>
          <w:sz w:val="21"/>
        </w:rPr>
        <w:t>Ｄ-6が最優先です。</w:t>
      </w:r>
      <w:r>
        <w:rPr>
          <w:rFonts w:ascii="游ゴシック" w:hAnsi="游ゴシック" w:eastAsia="游ゴシック"/>
          <w:b w:val="0"/>
          <w:i w:val="0"/>
          <w:sz w:val="21"/>
        </w:rPr>
        <w:t xml:space="preserve"> 福島県高齢者居住安定確保計画は</w:t>
      </w:r>
      <w:r>
        <w:rPr>
          <w:rFonts w:ascii="游ゴシック" w:hAnsi="游ゴシック" w:eastAsia="游ゴシック"/>
          <w:b/>
          <w:i w:val="0"/>
          <w:sz w:val="21"/>
        </w:rPr>
        <w:t>現行が令和4年3月改定</w:t>
      </w:r>
      <w:r>
        <w:rPr>
          <w:rFonts w:ascii="游ゴシック" w:hAnsi="游ゴシック" w:eastAsia="游ゴシック"/>
          <w:b w:val="0"/>
          <w:i w:val="0"/>
          <w:sz w:val="21"/>
        </w:rPr>
        <w:t>で、本計画の期間が始まる前後に改定される見込みです。</w:t>
      </w:r>
      <w:r>
        <w:rPr>
          <w:rFonts w:ascii="游ゴシック" w:hAnsi="游ゴシック" w:eastAsia="游ゴシック"/>
          <w:b/>
          <w:i w:val="0"/>
          <w:sz w:val="21"/>
        </w:rPr>
        <w:t>改定の内容が分からないまま本文を書くと、書き直すことになります。</w:t>
      </w:r>
    </w:p>
    <w:p>
      <w:pPr>
        <w:pStyle w:val="Heading1"/>
        <w:keepNext/>
        <w:spacing w:before="240" w:after="100"/>
      </w:pPr>
      <w:bookmarkStart w:id="108" w:name="_Toc_008"/>
      <w:r>
        <w:rPr>
          <w:rFonts w:ascii="游ゴシック" w:hAnsi="游ゴシック" w:eastAsia="游ゴシック"/>
          <w:b/>
          <w:i w:val="0"/>
          <w:color w:val="2E74B5"/>
          <w:sz w:val="30"/>
        </w:rPr>
        <w:t>7　素案への反映</w:t>
      </w:r>
      <w:bookmarkEnd w:id="108"/>
    </w:p>
    <w:p>
      <w:pPr>
        <w:keepNext/>
        <w:spacing w:before="200" w:after="40"/>
      </w:pPr>
      <w:r>
        <w:rPr>
          <w:rFonts w:ascii="游ゴシック" w:hAnsi="游ゴシック" w:eastAsia="游ゴシック"/>
          <w:b/>
          <w:i w:val="0"/>
          <w:color w:val="1F4D78"/>
          <w:sz w:val="22"/>
        </w:rPr>
        <w:t>【表4】素案への反映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143"/>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7143"/>
            <w:shd w:val="clear" w:fill="1F3864"/>
            <w:vAlign w:val="center"/>
          </w:tcPr>
          <w:p>
            <w:pPr>
              <w:spacing w:before="20" w:after="20"/>
              <w:jc w:val="center"/>
            </w:pPr>
            <w:r>
              <w:rPr>
                <w:rFonts w:ascii="游ゴシック" w:hAnsi="游ゴシック" w:eastAsia="游ゴシック"/>
                <w:b/>
                <w:i w:val="0"/>
                <w:color w:val="FFFFFF"/>
                <w:sz w:val="17"/>
              </w:rPr>
              <w:t>どう直すか</w:t>
            </w:r>
          </w:p>
        </w:tc>
      </w:tr>
      <w:tr>
        <w:tc>
          <w:tcPr>
            <w:tcW w:type="dxa" w:w="2608"/>
            <w:vAlign w:val="center"/>
          </w:tcPr>
          <w:p>
            <w:pPr>
              <w:spacing w:before="20" w:after="20"/>
            </w:pPr>
            <w:r>
              <w:rPr>
                <w:rFonts w:ascii="游ゴシック" w:hAnsi="游ゴシック" w:eastAsia="游ゴシック"/>
                <w:b w:val="0"/>
                <w:i w:val="0"/>
                <w:sz w:val="17"/>
              </w:rPr>
              <w:t>第1章3　関連計画との役割分担</w:t>
            </w:r>
          </w:p>
        </w:tc>
        <w:tc>
          <w:tcPr>
            <w:tcW w:type="dxa" w:w="7143"/>
            <w:vAlign w:val="center"/>
          </w:tcPr>
          <w:p>
            <w:pPr>
              <w:spacing w:before="20" w:after="20"/>
            </w:pPr>
            <w:r>
              <w:rPr>
                <w:rFonts w:ascii="游ゴシック" w:hAnsi="游ゴシック" w:eastAsia="游ゴシック"/>
                <w:b/>
                <w:i w:val="0"/>
                <w:sz w:val="17"/>
              </w:rPr>
              <w:t>住まい・住宅の計画を加える</w:t>
            </w:r>
            <w:r>
              <w:rPr>
                <w:rFonts w:ascii="游ゴシック" w:hAnsi="游ゴシック" w:eastAsia="游ゴシック"/>
                <w:b w:val="0"/>
                <w:i w:val="0"/>
                <w:sz w:val="17"/>
              </w:rPr>
              <w:t>（県高齢者居住安定確保計画・県住生活基本計画・県賃貸住宅供給促進計画、町が定めていればその計画）。</w:t>
            </w:r>
            <w:r>
              <w:rPr>
                <w:rFonts w:ascii="游ゴシック" w:hAnsi="游ゴシック" w:eastAsia="游ゴシック"/>
                <w:b/>
                <w:i w:val="0"/>
                <w:sz w:val="17"/>
              </w:rPr>
              <w:t>県保健医療計画・地域医療構想を表に加える</w:t>
            </w:r>
            <w:r>
              <w:rPr>
                <w:rFonts w:ascii="游ゴシック" w:hAnsi="游ゴシック" w:eastAsia="游ゴシック"/>
                <w:b w:val="0"/>
                <w:i w:val="0"/>
                <w:sz w:val="17"/>
              </w:rPr>
              <w:t>（現在は第1章2に1行あるだけ）</w:t>
            </w:r>
          </w:p>
        </w:tc>
      </w:tr>
      <w:tr>
        <w:tc>
          <w:tcPr>
            <w:tcW w:type="dxa" w:w="2608"/>
            <w:vAlign w:val="center"/>
          </w:tcPr>
          <w:p>
            <w:pPr>
              <w:spacing w:before="20" w:after="20"/>
            </w:pPr>
            <w:r>
              <w:rPr>
                <w:rFonts w:ascii="游ゴシック" w:hAnsi="游ゴシック" w:eastAsia="游ゴシック"/>
                <w:b w:val="0"/>
                <w:i w:val="0"/>
                <w:sz w:val="17"/>
              </w:rPr>
              <w:t>第1章3　同上</w:t>
            </w:r>
          </w:p>
        </w:tc>
        <w:tc>
          <w:tcPr>
            <w:tcW w:type="dxa" w:w="7143"/>
            <w:vAlign w:val="center"/>
          </w:tcPr>
          <w:p>
            <w:pPr>
              <w:spacing w:before="20" w:after="20"/>
            </w:pPr>
            <w:r>
              <w:rPr>
                <w:rFonts w:ascii="游ゴシック" w:hAnsi="游ゴシック" w:eastAsia="游ゴシック"/>
                <w:b/>
                <w:i w:val="0"/>
                <w:sz w:val="17"/>
              </w:rPr>
              <w:t>整合と調和を分けて書く。</w:t>
            </w:r>
            <w:r>
              <w:rPr>
                <w:rFonts w:ascii="游ゴシック" w:hAnsi="游ゴシック" w:eastAsia="游ゴシック"/>
                <w:b w:val="0"/>
                <w:i w:val="0"/>
                <w:sz w:val="17"/>
              </w:rPr>
              <w:t>介護保険法が求める</w:t>
            </w:r>
            <w:r>
              <w:rPr>
                <w:rFonts w:ascii="游ゴシック" w:hAnsi="游ゴシック" w:eastAsia="游ゴシック"/>
                <w:b/>
                <w:i w:val="0"/>
                <w:sz w:val="17"/>
              </w:rPr>
              <w:t>整合性の確保</w:t>
            </w:r>
            <w:r>
              <w:rPr>
                <w:rFonts w:ascii="游ゴシック" w:hAnsi="游ゴシック" w:eastAsia="游ゴシック"/>
                <w:b w:val="0"/>
                <w:i w:val="0"/>
                <w:sz w:val="17"/>
              </w:rPr>
              <w:t>（医療計画、医療介護総合確保促進法第5条第1項の市町村計画）と、</w:t>
            </w:r>
            <w:r>
              <w:rPr>
                <w:rFonts w:ascii="游ゴシック" w:hAnsi="游ゴシック" w:eastAsia="游ゴシック"/>
                <w:b/>
                <w:i w:val="0"/>
                <w:sz w:val="17"/>
              </w:rPr>
              <w:t>調和</w:t>
            </w:r>
            <w:r>
              <w:rPr>
                <w:rFonts w:ascii="游ゴシック" w:hAnsi="游ゴシック" w:eastAsia="游ゴシック"/>
                <w:b w:val="0"/>
                <w:i w:val="0"/>
                <w:sz w:val="17"/>
              </w:rPr>
              <w:t>（地域福祉計画、賃貸住宅供給促進計画、障害福祉計画、健康増進計画、生涯活躍のまち形成事業計画）は性質が違う</w:t>
            </w:r>
          </w:p>
        </w:tc>
      </w:tr>
      <w:tr>
        <w:tc>
          <w:tcPr>
            <w:tcW w:type="dxa" w:w="2608"/>
            <w:vAlign w:val="center"/>
          </w:tcPr>
          <w:p>
            <w:pPr>
              <w:spacing w:before="20" w:after="20"/>
            </w:pPr>
            <w:r>
              <w:rPr>
                <w:rFonts w:ascii="游ゴシック" w:hAnsi="游ゴシック" w:eastAsia="游ゴシック"/>
                <w:b w:val="0"/>
                <w:i w:val="0"/>
                <w:sz w:val="17"/>
              </w:rPr>
              <w:t>第2章5　サービス提供体制の状況</w:t>
            </w:r>
          </w:p>
        </w:tc>
        <w:tc>
          <w:tcPr>
            <w:tcW w:type="dxa" w:w="7143"/>
            <w:vAlign w:val="center"/>
          </w:tcPr>
          <w:p>
            <w:pPr>
              <w:spacing w:before="20" w:after="20"/>
            </w:pPr>
            <w:r>
              <w:rPr>
                <w:rFonts w:ascii="游ゴシック" w:hAnsi="游ゴシック" w:eastAsia="游ゴシック"/>
                <w:b/>
                <w:i w:val="0"/>
                <w:sz w:val="17"/>
              </w:rPr>
              <w:t>住まいの定員の表に、県高齢者居住安定確保計画の位置づけを添える。</w:t>
            </w:r>
            <w:r>
              <w:rPr>
                <w:rFonts w:ascii="游ゴシック" w:hAnsi="游ゴシック" w:eastAsia="游ゴシック"/>
                <w:b w:val="0"/>
                <w:i w:val="0"/>
                <w:sz w:val="17"/>
              </w:rPr>
              <w:t>勘案義務（第117条第5項第1号）の説明と対になる</w:t>
            </w:r>
          </w:p>
        </w:tc>
      </w:tr>
      <w:tr>
        <w:tc>
          <w:tcPr>
            <w:tcW w:type="dxa" w:w="2608"/>
            <w:vAlign w:val="center"/>
          </w:tcPr>
          <w:p>
            <w:pPr>
              <w:spacing w:before="20" w:after="20"/>
            </w:pPr>
            <w:r>
              <w:rPr>
                <w:rFonts w:ascii="游ゴシック" w:hAnsi="游ゴシック" w:eastAsia="游ゴシック"/>
                <w:b w:val="0"/>
                <w:i w:val="0"/>
                <w:sz w:val="17"/>
              </w:rPr>
              <w:t>第4章4　障がい福祉計画との接点</w:t>
            </w:r>
          </w:p>
        </w:tc>
        <w:tc>
          <w:tcPr>
            <w:tcW w:type="dxa" w:w="7143"/>
            <w:vAlign w:val="center"/>
          </w:tcPr>
          <w:p>
            <w:pPr>
              <w:spacing w:before="20" w:after="20"/>
            </w:pPr>
            <w:r>
              <w:rPr>
                <w:rFonts w:ascii="游ゴシック" w:hAnsi="游ゴシック" w:eastAsia="游ゴシック"/>
                <w:b/>
                <w:i w:val="0"/>
                <w:sz w:val="17"/>
              </w:rPr>
              <w:t>接点の10（支援会議と支援協議会の相互連携）に住宅セーフティネット法の居住支援協議会が含まれることは書いてある。</w:t>
            </w:r>
            <w:r>
              <w:rPr>
                <w:rFonts w:ascii="游ゴシック" w:hAnsi="游ゴシック" w:eastAsia="游ゴシック"/>
                <w:b w:val="0"/>
                <w:i w:val="0"/>
                <w:sz w:val="17"/>
              </w:rPr>
              <w:t>整合の相手方としても第1章3に置く</w:t>
            </w:r>
          </w:p>
        </w:tc>
      </w:tr>
      <w:tr>
        <w:tc>
          <w:tcPr>
            <w:tcW w:type="dxa" w:w="2608"/>
            <w:vAlign w:val="center"/>
          </w:tcPr>
          <w:p>
            <w:pPr>
              <w:keepNext/>
              <w:spacing w:before="20" w:after="20"/>
            </w:pPr>
            <w:r>
              <w:rPr>
                <w:rFonts w:ascii="游ゴシック" w:hAnsi="游ゴシック" w:eastAsia="游ゴシック"/>
                <w:b w:val="0"/>
                <w:i w:val="0"/>
                <w:sz w:val="17"/>
              </w:rPr>
              <w:t>第5章　施策の展開</w:t>
            </w:r>
          </w:p>
        </w:tc>
        <w:tc>
          <w:tcPr>
            <w:tcW w:type="dxa" w:w="7143"/>
            <w:vAlign w:val="center"/>
          </w:tcPr>
          <w:p>
            <w:pPr>
              <w:keepNext/>
              <w:spacing w:before="20" w:after="20"/>
            </w:pPr>
            <w:r>
              <w:rPr>
                <w:rFonts w:ascii="游ゴシック" w:hAnsi="游ゴシック" w:eastAsia="游ゴシック"/>
                <w:b/>
                <w:i w:val="0"/>
                <w:sz w:val="17"/>
              </w:rPr>
              <w:t>住まいの施策がない。</w:t>
            </w:r>
            <w:r>
              <w:rPr>
                <w:rFonts w:ascii="游ゴシック" w:hAnsi="游ゴシック" w:eastAsia="游ゴシック"/>
                <w:b w:val="0"/>
                <w:i w:val="0"/>
                <w:sz w:val="17"/>
              </w:rPr>
              <w:t xml:space="preserve"> 高齢者向け住まいは「国が求める5点」の表に1行あるだけで、施策にも関連計画にも出てこない。</w:t>
            </w:r>
            <w:r>
              <w:rPr>
                <w:rFonts w:ascii="游ゴシック" w:hAnsi="游ゴシック" w:eastAsia="游ゴシック"/>
                <w:b/>
                <w:i w:val="0"/>
                <w:sz w:val="17"/>
              </w:rPr>
              <w:t>県計画が挙げる課題（中山間地域で高齢者が集まって住む住宅が少ないこと等）のうち本町に当てはまるものを確かめ、施策として置くかを判断する</w:t>
            </w:r>
          </w:p>
        </w:tc>
      </w:tr>
      <w:tr>
        <w:tc>
          <w:tcPr>
            <w:tcW w:type="dxa" w:w="2608"/>
            <w:vAlign w:val="center"/>
          </w:tcPr>
          <w:p>
            <w:pPr>
              <w:spacing w:before="20" w:after="20"/>
            </w:pPr>
            <w:r>
              <w:rPr>
                <w:rFonts w:ascii="游ゴシック" w:hAnsi="游ゴシック" w:eastAsia="游ゴシック"/>
                <w:b w:val="0"/>
                <w:i w:val="0"/>
                <w:sz w:val="17"/>
              </w:rPr>
              <w:t>第6章2　介護給付等サービスの見込量</w:t>
            </w:r>
          </w:p>
        </w:tc>
        <w:tc>
          <w:tcPr>
            <w:tcW w:type="dxa" w:w="7143"/>
            <w:vAlign w:val="center"/>
          </w:tcPr>
          <w:p>
            <w:pPr>
              <w:spacing w:before="20" w:after="20"/>
            </w:pPr>
            <w:r>
              <w:rPr>
                <w:rFonts w:ascii="游ゴシック" w:hAnsi="游ゴシック" w:eastAsia="游ゴシック"/>
                <w:b/>
                <w:i w:val="0"/>
                <w:sz w:val="17"/>
              </w:rPr>
              <w:t>令和8年7月14日付け3課長連名通知を引いて、見込量の置き方が国の示す整合性の確保の考え方に合っていることを示す</w:t>
            </w:r>
          </w:p>
        </w:tc>
      </w:tr>
    </w:tbl>
    <w:p>
      <w:pPr>
        <w:spacing w:after="40"/>
      </w:pPr>
    </w:p>
    <w:p>
      <w:pPr>
        <w:spacing w:before="60" w:after="60"/>
      </w:pPr>
      <w:r>
        <w:rPr>
          <w:rFonts w:ascii="游ゴシック" w:hAnsi="游ゴシック" w:eastAsia="游ゴシック"/>
          <w:b/>
          <w:i w:val="0"/>
          <w:sz w:val="21"/>
        </w:rPr>
        <w:t>「整合」と「調和」を分けて書くのが要点です。</w:t>
      </w:r>
      <w:r>
        <w:rPr>
          <w:rFonts w:ascii="游ゴシック" w:hAnsi="游ゴシック" w:eastAsia="游ゴシック"/>
          <w:b w:val="0"/>
          <w:i w:val="0"/>
          <w:sz w:val="21"/>
        </w:rPr>
        <w:t xml:space="preserve"> 介護保険法は、医療計画と医療介護総合確保促進法第5条第1項の市町村計画に</w:t>
      </w:r>
      <w:r>
        <w:rPr>
          <w:rFonts w:ascii="游ゴシック" w:hAnsi="游ゴシック" w:eastAsia="游ゴシック"/>
          <w:b/>
          <w:i w:val="0"/>
          <w:sz w:val="21"/>
        </w:rPr>
        <w:t>整合性の確保</w:t>
      </w:r>
      <w:r>
        <w:rPr>
          <w:rFonts w:ascii="游ゴシック" w:hAnsi="游ゴシック" w:eastAsia="游ゴシック"/>
          <w:b w:val="0"/>
          <w:i w:val="0"/>
          <w:sz w:val="21"/>
        </w:rPr>
        <w:t>を求め、地域福祉計画その他の計画には</w:t>
      </w:r>
      <w:r>
        <w:rPr>
          <w:rFonts w:ascii="游ゴシック" w:hAnsi="游ゴシック" w:eastAsia="游ゴシック"/>
          <w:b/>
          <w:i w:val="0"/>
          <w:sz w:val="21"/>
        </w:rPr>
        <w:t>調和</w:t>
      </w:r>
      <w:r>
        <w:rPr>
          <w:rFonts w:ascii="游ゴシック" w:hAnsi="游ゴシック" w:eastAsia="游ゴシック"/>
          <w:b w:val="0"/>
          <w:i w:val="0"/>
          <w:sz w:val="21"/>
        </w:rPr>
        <w:t>を求めています。</w:t>
      </w:r>
      <w:r>
        <w:rPr>
          <w:rFonts w:ascii="游ゴシック" w:hAnsi="游ゴシック" w:eastAsia="游ゴシック"/>
          <w:b/>
          <w:i w:val="0"/>
          <w:sz w:val="21"/>
        </w:rPr>
        <w:t>言葉が違うのは求める強さが違うためです。</w:t>
      </w:r>
      <w:r>
        <w:rPr>
          <w:rFonts w:ascii="游ゴシック" w:hAnsi="游ゴシック" w:eastAsia="游ゴシック"/>
          <w:b w:val="0"/>
          <w:i w:val="0"/>
          <w:sz w:val="21"/>
        </w:rPr>
        <w:t>現在の素案はどちらも「整合」で書いています。</w:t>
      </w:r>
    </w:p>
    <w:p>
      <w:pPr>
        <w:spacing w:before="40" w:after="160"/>
        <w:ind w:left="113"/>
      </w:pPr>
      <w:r>
        <w:rPr>
          <w:rFonts w:ascii="游ゴシック" w:hAnsi="游ゴシック" w:eastAsia="游ゴシック"/>
          <w:b w:val="0"/>
          <w:i w:val="0"/>
          <w:sz w:val="17"/>
        </w:rPr>
        <w:t>※ 条項番号は、</w:t>
      </w:r>
      <w:r>
        <w:rPr>
          <w:rFonts w:ascii="游ゴシック" w:hAnsi="游ゴシック" w:eastAsia="游ゴシック"/>
          <w:b/>
          <w:i w:val="0"/>
          <w:sz w:val="17"/>
        </w:rPr>
        <w:t>条文で確かめたものだけを書いています。</w:t>
      </w:r>
      <w:r>
        <w:rPr>
          <w:rFonts w:ascii="游ゴシック" w:hAnsi="游ゴシック" w:eastAsia="游ゴシック"/>
          <w:b w:val="0"/>
          <w:i w:val="0"/>
          <w:sz w:val="17"/>
        </w:rPr>
        <w:t>介護保険法第115条の48第5項・第117条第5項は新旧対照条文により確認。</w:t>
      </w:r>
      <w:r>
        <w:rPr>
          <w:rFonts w:ascii="游ゴシック" w:hAnsi="游ゴシック" w:eastAsia="游ゴシック"/>
          <w:b/>
          <w:i w:val="0"/>
          <w:sz w:val="17"/>
        </w:rPr>
        <w:t>高齢者住まい法第4条の2・住宅セーフティネット法第6条は検索結果によるものであり、原典で確かめてから本文に書きます。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計画の整合のエビデンスの点検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計画の整合のエビデンスの点検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計画の整合のエビデンスの点検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