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30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51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80</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91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111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113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114</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180" w:after="10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180" w:after="10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160" w:line="269" w:lineRule="auto"/>
      </w:pPr>
      <w:r>
        <w:rPr>
          <w:rFonts w:ascii="游ゴシック" w:hAnsi="游ゴシック" w:eastAsia="游ゴシック"/>
          <w:b w:val="0"/>
          <w:sz w:val="17"/>
        </w:rPr>
        <w:t>注）上記の町別・年齢4区分別の人口は、住民基本台帳の各年10月1日現在の値であり、令和5年までの提供を受けているものです。令和6年以降の同じ時点の町別の値は提供を受けていないため、年齢階級別の趨勢及び将来推計の基礎には、公表されている各年1月1日現在の値を用いています。両者は時点が9か月異なるため、同じ系列としてつなげていません［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令和7年度の事業ごとの実績及び令和9年度に創設される事業の費用の額が定まった時点で算定します［要協議］。</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業務継続計画の策定を確認した地域密着型サービス事業所の割合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当初は業務継続計画未策定減算（令和6年度新設）の算定状況から把握する方法を予定していましたが、給付実績の明細（加算・減算の単位）が得られないため、指定、指定の更新又は運営指導の際の確認によります。対象は区域内の地域密着型サービス事業所17事業所（東川町4・美瑛町10・東神楽町3）で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北海道が同じ算定方法で評価指標⑥を算定していますが、団体別の値を引用できる見通しが立たないため、H14は要因分析に用いる補完指標にとどめ、目標値を置き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9,500人の維持）を下回る見込みであること、東川町の実績が目標（8,635人）を既に上回っていることによります。このため、総人口は3町計を総合戦略の目標の水準により置き、年齢階級別の内訳及び町別の総人口は住民基本台帳の実績趨勢によることと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注2）事業費の中長期的な推計は、令和7年度の事業ごとの実績及び特定地域居宅サービス等事業その他の令和9年度に創設される事業の費用の額が定まった時点で算定します［要協議］。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br/>
        <w:t>注）補正を行っても計画値と実績値の開きが残るサービスが6種別あります（居宅療養管理指導、地域密着型通所介護、短期入所生活介護、短期入所療養介護、訪問看護、訪問リハビリテーション）。いずれも趨勢の置き方によるものではなく、区域内の供給の状況又は制度の区分によるものと考えられます。趨勢の補正では解消しないため、第4節の整備方針及び確保方策において扱います［要確認］。</w:t>
        <w:br/>
        <w:t>注）認知症施策、高齢者向け住まい（介護保険の指定を受けない住まいを含む）その他の趨勢に現れない要因については、給付費を増やす向きか減らす向きかを本計画の該当箇所に記すにとどめ、数値には織り込んでいません。大きさを測ることができないためで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