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現行の6〜10㎥は税抜37円（税込40.7円）で、11〜50㎥の税抜174円（税込191.4円）の4.7分の1。公共下水道では従量課金対象水量の37.9%にこの単価が適用される一方、対応する従量収入は5.3%にとどまる。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9,070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区分別の収入シェアと従量課金対象水量シェア（公共下水道・令和7年度）</w:t>
      </w:r>
    </w:p>
    <w:p>
      <w:pPr>
        <w:keepNext/>
        <w:spacing w:after="70" w:before="200"/>
      </w:pPr>
      <w:r>
        <w:rPr>
          <w:rFonts w:ascii="MS Pゴシック" w:cs="MS Pゴシック" w:eastAsia="MS Pゴシック" w:hAnsi="MS Pゴシック"/>
          <w:b/>
          <w:bCs/>
          <w:color w:val="1A1A1A"/>
          <w:sz w:val="19"/>
          <w:szCs w:val="19"/>
        </w:rPr>
        <w:t xml:space="preserve">表2　公共下水道の区分別収入</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1750"/>
        <w:gridCol w:w="1550"/>
        <w:gridCol w:w="1950"/>
        <w:gridCol w:w="165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収入シェア</w:t>
            </w:r>
          </w:p>
        </w:tc>
        <w:tc>
          <w:tcPr>
            <w:tcW w:type="dxa" w:w="1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水量シェア</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15,864,710</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1,888,236</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5.3%</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46,394</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37.9%</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12,699,581</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35.7%</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66,351</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54.1%</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2,156,440</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6.1%</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9,802</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特殊算定（日割・異動等）</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3,007,563</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従量課金対象水量は、基本使用料に含まれる水量（2か月10㎥）を除いた水量であり、全汚水量ではない。</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公共下水道では、基本水量を除く従量課金対象水量の37.9%に6〜10㎥単価が適用されている一方、同区分に対応する従量収入は5.3%である。</w:t>
            </w:r>
          </w:p>
          <w:p>
            <w:pPr>
              <w:spacing w:after="60" w:line="290"/>
            </w:pPr>
            <w:r>
              <w:rPr>
                <w:rFonts w:ascii="MS Pゴシック" w:cs="MS Pゴシック" w:eastAsia="MS Pゴシック" w:hAnsi="MS Pゴシック"/>
                <w:color w:val="1A1A1A"/>
                <w:sz w:val="20"/>
                <w:szCs w:val="20"/>
              </w:rPr>
              <w:t xml:space="preserve">漁業集落排水もほぼ同じ構造で、水量33.9%・収入5.5%となっている。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42,987,132円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R7年度奇数月6回調定</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51,480,990円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8,493,858円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+19.8%</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6〜10㎥区分の単価差を解消するだけで、平均増収率19.8%に相当する規模の増収余地がある。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2,135,226円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4,269,216円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6,493,678円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の1年分相当の調定分布に新料金を当てたもの・税込）。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条例別表に載せる税抜単価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500"/>
        <w:gridCol w:w="1750"/>
        <w:gridCol w:w="1750"/>
        <w:gridCol w:w="1800"/>
        <w:gridCol w:w="1800"/>
      </w:tblGrid>
      <w:tr>
        <w:trPr>
          <w:tblHeader/>
        </w:trPr>
        <w:tc>
          <w:tcPr>
            <w:tcW w:type="dxa" w:w="2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中心案の税込（参考）</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11〜50㎥（1㎥につき）</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2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6㎥〜57円である。令和7年度の調定データからは適用者を確認できないため今回の試算対象外としているが、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w:t>
      </w:r>
    </w:p>
    <w:p>
      <w:pPr>
        <w:spacing w:after="120" w:before="0" w:line="300"/>
        <w:ind w:left="240"/>
      </w:pPr>
      <w:r>
        <w:rPr>
          <w:rFonts w:ascii="MS Pゴシック" w:cs="MS Pゴシック" w:eastAsia="MS Pゴシック" w:hAnsi="MS Pゴシック"/>
          <w:color w:val="1A1A1A"/>
          <w:sz w:val="21"/>
          <w:szCs w:val="21"/>
        </w:rPr>
        <w:t xml:space="preserve">2か月分の請求額は「税抜額×1.1」の1円未満を切り捨てて算定している。改正にあたっては端数処理の方法を条文上明確にする。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令和8年度予算の下水道使用料は41,906千円である。一方、経営戦略の採用シミュレーションが見込む令和8年度使用料収入は52,273千円（公共44,463千円＋漁集7,810千円）であり、10,367千円の差がある。この差の内訳を整理した。</w:t>
      </w:r>
    </w:p>
    <w:p>
      <w:pPr>
        <w:keepNext/>
        <w:spacing w:after="70" w:before="200"/>
      </w:pPr>
      <w:r>
        <w:rPr>
          <w:rFonts w:ascii="MS Pゴシック" w:cs="MS Pゴシック" w:eastAsia="MS Pゴシック" w:hAnsi="MS Pゴシック"/>
          <w:b/>
          <w:bCs/>
          <w:color w:val="1A1A1A"/>
          <w:sz w:val="19"/>
          <w:szCs w:val="19"/>
        </w:rPr>
        <w:t xml:space="preserve">表12　令和8年度予算と経営戦略の差異（単位：千円）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900"/>
        <w:gridCol w:w="1700"/>
        <w:gridCol w:w="1700"/>
        <w:gridCol w:w="2300"/>
      </w:tblGrid>
      <w:tr>
        <w:trPr>
          <w:tblHeader/>
        </w:trPr>
        <w:tc>
          <w:tcPr>
            <w:tcW w:type="dxa" w:w="3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税込ベース</w:t>
            </w:r>
          </w:p>
        </w:tc>
      </w:tr>
      <w:tr>
        <w:tc>
          <w:tcPr>
            <w:tcW w:type="dxa" w:w="3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▲4,736</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47,538</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47,238</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3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消費税相当（税込→税抜）</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▲4,294</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42,944</w:t>
            </w:r>
          </w:p>
        </w:tc>
        <w:tc>
          <w:tcPr>
            <w:tcW w:type="dxa" w:w="2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基準の不一致</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残差（水量前提・収納率等）</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▲1,038</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通常の予算査定幅</w:t>
            </w:r>
          </w:p>
        </w:tc>
      </w:tr>
      <w:tr>
        <w:tc>
          <w:tcPr>
            <w:tcW w:type="dxa" w:w="3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令和8年度予算</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税抜ベース</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経営戦略のケース①は「5年毎に10%ずつ使用料を上昇」させる想定であり、その初回が令和8年度にあたる。漁業集落排水はケース②（ケース①＋水洗化率80%）を採用している。</w:t>
      </w:r>
    </w:p>
    <w:p>
      <w:pPr>
        <w:spacing w:after="40" w:before="160" w:line="300"/>
      </w:pPr>
      <w:r>
        <w:rPr>
          <w:rFonts w:ascii="MS Pゴシック" w:cs="MS Pゴシック" w:eastAsia="MS Pゴシック" w:hAnsi="MS Pゴシック"/>
          <w:b/>
          <w:bCs/>
          <w:color w:val="1A1A1A"/>
          <w:sz w:val="20"/>
          <w:szCs w:val="20"/>
        </w:rPr>
        <w:t xml:space="preserve">■ 経営戦略の使用料収入は税込ベースで積算されている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が採用されている。これは令和1〜4年度の実績平均であり、当時は法非適用（官庁会計）で使用料を税込計上していた。令和5年度の法適用以降、営業収益は税抜計上に変わっている。つまり税込ベースの単価を、税抜で決算・予算する期間に適用している。</w:t>
      </w:r>
    </w:p>
    <w:p>
      <w:pPr>
        <w:keepNext/>
        <w:spacing w:after="70" w:before="200"/>
      </w:pPr>
      <w:r>
        <w:rPr>
          <w:rFonts w:ascii="MS Pゴシック" w:cs="MS Pゴシック" w:eastAsia="MS Pゴシック" w:hAnsi="MS Pゴシック"/>
          <w:b/>
          <w:bCs/>
          <w:color w:val="1A1A1A"/>
          <w:sz w:val="19"/>
          <w:szCs w:val="19"/>
        </w:rPr>
        <w:t xml:space="preserve">表13　令和6年度決算による検証（単位：千円）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600"/>
        <w:gridCol w:w="1750"/>
        <w:gridCol w:w="1750"/>
        <w:gridCol w:w="1750"/>
        <w:gridCol w:w="1750"/>
      </w:tblGrid>
      <w:tr>
        <w:trPr>
          <w:tblHeader/>
        </w:trPr>
        <w:tc>
          <w:tcPr>
            <w:tcW w:type="dxa" w:w="26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事業</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R6決算（税抜）</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×1.1（税込換算）</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経営戦略R6予測</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比</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公共下水道</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33,652</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37,017</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37,065</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0.999</w:t>
            </w:r>
          </w:p>
        </w:tc>
      </w:tr>
      <w:tr>
        <w:tc>
          <w:tcPr>
            <w:tcW w:type="dxa" w:w="26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漁業集落排水</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7,229</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7,952</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7,215</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1.102</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合計</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40,881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44,969</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44,280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1.016</w:t>
            </w:r>
          </w:p>
        </w:tc>
      </w:tr>
    </w:tbl>
    <w:p>
      <w:pPr>
        <w:spacing w:after="200" w:before="40"/>
      </w:pPr>
      <w:r>
        <w:rPr>
          <w:rFonts w:ascii="MS Pゴシック" w:cs="MS Pゴシック" w:eastAsia="MS Pゴシック" w:hAnsi="MS Pゴシック"/>
          <w:color w:val="5F6F74"/>
          <w:sz w:val="17"/>
          <w:szCs w:val="17"/>
        </w:rPr>
        <w:t xml:space="preserve">公共の税込換算額を経営戦略の採用単価173.9円/㎥で割り戻すと212,865㎥となり、経営戦略の令和6年度有収水量予測213,135㎥と0.13%しか違わない。水量予測は当たっており、ずれているのは税の取扱いである。漁集が1.10を超えるのは有収水量が予測ほど減少していないためで、逆算すると約46,475㎥（予測42,167㎥）となる。</w:t>
      </w:r>
    </w:p>
    <w:p>
      <w:pPr>
        <w:spacing w:after="40" w:before="160" w:line="300"/>
      </w:pPr>
      <w:r>
        <w:rPr>
          <w:rFonts w:ascii="MS Pゴシック" w:cs="MS Pゴシック" w:eastAsia="MS Pゴシック" w:hAnsi="MS Pゴシック"/>
          <w:b/>
          <w:bCs/>
          <w:color w:val="1A1A1A"/>
          <w:sz w:val="20"/>
          <w:szCs w:val="20"/>
        </w:rPr>
        <w:t xml:space="preserve">■ 令和8年度予算は直近実績と整合している</w:t>
      </w:r>
    </w:p>
    <w:p>
      <w:pPr>
        <w:spacing w:after="120" w:before="0" w:line="300"/>
        <w:ind w:left="240"/>
      </w:pPr>
      <w:r>
        <w:rPr>
          <w:rFonts w:ascii="MS Pゴシック" w:cs="MS Pゴシック" w:eastAsia="MS Pゴシック" w:hAnsi="MS Pゴシック"/>
          <w:color w:val="1A1A1A"/>
          <w:sz w:val="21"/>
          <w:szCs w:val="21"/>
        </w:rPr>
        <w:t xml:space="preserve">令和6年度決算40,881千円、令和7年度調定実績40,526千円（税抜換算）に対し、令和8年度予算41,906千円は前者比+2.5%・後者比+3.4%である。公共下水道の未整備地域整備による接続増を見込んだ計上として自然な水準であり、予算額そのものに不自然な点はない。同じ税込ベースに揃えて比較すると、予算41,906千円は税込46,097千円にあたり、経営戦略の現況継続47,238千円との差は1,141千円（2.4%）にとどまる。</w:t>
      </w:r>
    </w:p>
    <w:p>
      <w:pPr>
        <w:spacing w:after="40" w:before="160" w:line="300"/>
      </w:pPr>
      <w:r>
        <w:rPr>
          <w:rFonts w:ascii="MS Pゴシック" w:cs="MS Pゴシック" w:eastAsia="MS Pゴシック" w:hAnsi="MS Pゴシック"/>
          <w:b/>
          <w:bCs/>
          <w:color w:val="1A1A1A"/>
          <w:sz w:val="20"/>
          <w:szCs w:val="20"/>
        </w:rPr>
        <w:t xml:space="preserve">■ 改定の増収効果は予算額を基礎に評価する</w:t>
      </w:r>
    </w:p>
    <w:p>
      <w:pPr>
        <w:spacing w:after="120" w:before="0" w:line="300"/>
        <w:ind w:left="240"/>
      </w:pPr>
      <w:r>
        <w:rPr>
          <w:rFonts w:ascii="MS Pゴシック" w:cs="MS Pゴシック" w:eastAsia="MS Pゴシック" w:hAnsi="MS Pゴシック"/>
          <w:color w:val="1A1A1A"/>
          <w:sz w:val="21"/>
          <w:szCs w:val="21"/>
        </w:rPr>
        <w:t xml:space="preserve">以上から、改定の増収効果は経営戦略の52,273千円ではなく令和8年度予算41,906千円を基礎に評価すべきである。中心案の調定額ベース平均増収率+9.93%を適用すると改定後は約46,067千円（税抜）、増収額は約4,161千円（税抜）となる。経営戦略のケース①が想定する「5年毎に10%」の初回改定に、中心案はちょうど相当する。なお経営戦略の52,273千円をそのまま目標額として扱うと消費税分を二重に見込むことになり、約4,300千円の過大目標となる点に注意が必要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毎月検針の大口利用者のデータが一部欠けているため、51㎥〜から得られる増収が過小に評価され、その不足分を11〜50㎥で余分に回収する設計になっている可能性がある。したがって、データ不足は増収額だけでなく料金単価そのものにも影響する。6〜10㎥の単価差を縮小するという政策方向は本資料で議論できるが、73円・190円・220円を最終料金表として確定するのは年間調定データの補完後とすべきである。</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主検針月6回調定（9,070件・42,987,132円）に基づく。通常の隔月検針者については概ね12か月相当だが、偶数月調定および毎月検針者の一部を含まない。年間全件（12か月・9,220件）で集計すると調定額は44,578,708円となり、これを基礎とした場合の平年度増収額は約4,427千円（税込）・約4,024千円（税抜）となる。また集計ブックの「〜2,216」行は1件あたり2,216円（上限額）で評価されているが、令和7年度3月分の調定明細で実額を確認したところ71件で64,144円（平均903円）であり、集計ブックの評価は過大である。いずれも改定率および税抜単価には影響しない。</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第9章の分析は、41,906千円が「公共＋漁集の合算・税抜・当初予算」であることを前提としている。一次資料で確認する必要がある。なお仮に公共単独であれば令和7年度公共調定実績（税抜33,782千円）比で+24%となり、改定なしでは説明がつかないため、合算値である可能性が高い。</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分子の使用料収入を税込・税抜のいずれで置くかで数ポイント動く。目標管理の基準を税抜（決算統計ベース）に統一する必要がある。現況継続の令和8年度は税抜42,944千円、採用ケースは税抜47,521千円と読み替えるのが正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汚水処理費、使用料収入、有収水量、繰入金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eeb1cadc177ca6bc5e61bd09fee459c8b7905f31.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2026-09-14T22:56:30.654Z</dcterms:created>
  <dcterms:modified xsi:type="dcterms:W3CDTF">2026-09-14T22:56:30.663Z</dcterms:modified>
</cp:coreProperties>
</file>

<file path=docProps/custom.xml><?xml version="1.0" encoding="utf-8"?>
<Properties xmlns="http://schemas.openxmlformats.org/officeDocument/2006/custom-properties" xmlns:vt="http://schemas.openxmlformats.org/officeDocument/2006/docPropsVTypes"/>
</file>