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見える化」システムにも、介護サービス事業所の入所率・稼働率・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施設数・戸数・定員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村内に有料老人ホーム・サービス付き高齢者向け住宅がないため、施設数・戸数・定員を村が把握する仕組みがありません。村外の住まいについても、介護保険の給付の対象外の部分は村に情報が入りません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2026-10-04T13:51:35.918Z</dcterms:created>
  <dcterms:modified xsi:type="dcterms:W3CDTF">2026-10-04T13:51:35.918Z</dcterms:modified>
</cp:coreProperties>
</file>

<file path=docProps/custom.xml><?xml version="1.0" encoding="utf-8"?>
<Properties xmlns="http://schemas.openxmlformats.org/officeDocument/2006/custom-properties" xmlns:vt="http://schemas.openxmlformats.org/officeDocument/2006/docPropsVTypes"/>
</file>