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after="120"/>
        <w:jc w:val="center"/>
      </w:pPr>
      <w:r>
        <w:rPr>
          <w:rFonts w:ascii="游ゴシック" w:hAnsi="游ゴシック" w:eastAsia="游ゴシック"/>
          <w:b w:val="0"/>
          <w:i w:val="0"/>
          <w:sz w:val="26"/>
        </w:rPr>
        <w:t>福島県高齢者居住安定確保計画の受領と反映</w:t>
      </w:r>
    </w:p>
    <w:p>
      <w:pPr>
        <w:spacing w:after="120"/>
        <w:jc w:val="center"/>
      </w:pPr>
      <w:r>
        <w:rPr>
          <w:rFonts w:ascii="游ゴシック" w:hAnsi="游ゴシック" w:eastAsia="游ゴシック"/>
          <w:b w:val="0"/>
          <w:i w:val="0"/>
          <w:sz w:val="26"/>
        </w:rPr>
        <w:t>令和8年10月15日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受領したもの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1-1　計画の基本</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2　県計画が市町村に求めていること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3　中通りの課題と対策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3-1　中通りの現状・課題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3-2　中通りの具体的取組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4　住宅セーフティネットと居住支援協議会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5　県の関連事業と本町の実績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6　そのまま引けないこと（4件）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7　素案への反映</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受領したもの</w:t>
      </w:r>
      <w:bookmarkEnd w:id="101"/>
    </w:p>
    <w:p>
      <w:pPr>
        <w:spacing w:before="60" w:after="60"/>
      </w:pPr>
      <w:r>
        <w:rPr>
          <w:rFonts w:ascii="游ゴシック" w:hAnsi="游ゴシック" w:eastAsia="游ゴシック"/>
          <w:b/>
          <w:i w:val="0"/>
          <w:sz w:val="21"/>
        </w:rPr>
        <w:t>前日の点検で照会Ｄ-6（最優先）としていたものです。</w:t>
      </w:r>
      <w:r>
        <w:rPr>
          <w:rFonts w:ascii="游ゴシック" w:hAnsi="游ゴシック" w:eastAsia="游ゴシック"/>
          <w:b w:val="0"/>
          <w:i w:val="0"/>
          <w:sz w:val="21"/>
        </w:rPr>
        <w:t>現物が届きましたので、中身を確かめました。</w:t>
      </w:r>
    </w:p>
    <w:p>
      <w:pPr>
        <w:keepNext/>
        <w:spacing w:before="200" w:after="40"/>
      </w:pPr>
      <w:r>
        <w:rPr>
          <w:rFonts w:ascii="游ゴシック" w:hAnsi="游ゴシック" w:eastAsia="游ゴシック"/>
          <w:b/>
          <w:i w:val="0"/>
          <w:color w:val="1F4D78"/>
          <w:sz w:val="22"/>
        </w:rPr>
        <w:t>【表1】受領した資料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2268"/>
        <w:gridCol w:w="2494"/>
        <w:gridCol w:w="1814"/>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発出</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分量・時期</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受領</w:t>
            </w:r>
          </w:p>
        </w:tc>
      </w:tr>
      <w:tr>
        <w:tc>
          <w:tcPr>
            <w:tcW w:type="dxa" w:w="3175"/>
            <w:vAlign w:val="center"/>
          </w:tcPr>
          <w:p>
            <w:pPr>
              <w:spacing w:before="20" w:after="20"/>
            </w:pPr>
            <w:r>
              <w:rPr>
                <w:rFonts w:ascii="游ゴシック" w:hAnsi="游ゴシック" w:eastAsia="游ゴシック"/>
                <w:b w:val="0"/>
                <w:i w:val="0"/>
                <w:sz w:val="17"/>
              </w:rPr>
              <w:t>福島県高齢者居住安定確保計画</w:t>
            </w:r>
          </w:p>
        </w:tc>
        <w:tc>
          <w:tcPr>
            <w:tcW w:type="dxa" w:w="2268"/>
            <w:vAlign w:val="center"/>
          </w:tcPr>
          <w:p>
            <w:pPr>
              <w:spacing w:before="20" w:after="20"/>
            </w:pPr>
            <w:r>
              <w:rPr>
                <w:rFonts w:ascii="游ゴシック" w:hAnsi="游ゴシック" w:eastAsia="游ゴシック"/>
                <w:b w:val="0"/>
                <w:i w:val="0"/>
                <w:sz w:val="17"/>
              </w:rPr>
              <w:t>福島県土木部</w:t>
            </w:r>
          </w:p>
        </w:tc>
        <w:tc>
          <w:tcPr>
            <w:tcW w:type="dxa" w:w="2494"/>
            <w:vAlign w:val="center"/>
          </w:tcPr>
          <w:p>
            <w:pPr>
              <w:spacing w:before="20" w:after="20"/>
            </w:pPr>
            <w:r>
              <w:rPr>
                <w:rFonts w:ascii="游ゴシック" w:hAnsi="游ゴシック" w:eastAsia="游ゴシック"/>
                <w:b w:val="0"/>
                <w:i w:val="0"/>
                <w:sz w:val="17"/>
              </w:rPr>
              <w:t>全37頁　令和4年3月</w:t>
            </w:r>
          </w:p>
        </w:tc>
        <w:tc>
          <w:tcPr>
            <w:tcW w:type="dxa" w:w="1814"/>
            <w:vAlign w:val="center"/>
          </w:tcPr>
          <w:p>
            <w:pPr>
              <w:spacing w:before="20" w:after="20"/>
            </w:pPr>
            <w:r>
              <w:rPr>
                <w:rFonts w:ascii="游ゴシック" w:hAnsi="游ゴシック" w:eastAsia="游ゴシック"/>
                <w:b w:val="0"/>
                <w:i w:val="0"/>
                <w:sz w:val="17"/>
              </w:rPr>
              <w:t>令和8年10月15日受領</w:t>
            </w:r>
          </w:p>
        </w:tc>
      </w:tr>
    </w:tbl>
    <w:p>
      <w:pPr>
        <w:spacing w:after="40"/>
      </w:pPr>
    </w:p>
    <w:p>
      <w:pPr>
        <w:pStyle w:val="Heading2"/>
        <w:keepNext/>
        <w:spacing w:before="180" w:after="100"/>
      </w:pPr>
      <w:bookmarkStart w:id="102" w:name="_Toc_002"/>
      <w:r>
        <w:rPr>
          <w:rFonts w:ascii="游ゴシック" w:hAnsi="游ゴシック" w:eastAsia="游ゴシック"/>
          <w:b/>
          <w:i w:val="0"/>
          <w:color w:val="2E74B5"/>
          <w:sz w:val="25"/>
        </w:rPr>
        <w:t>1-1　計画の基本</w:t>
      </w:r>
      <w:bookmarkEnd w:id="102"/>
    </w:p>
    <w:p>
      <w:pPr>
        <w:keepNext/>
        <w:spacing w:before="200" w:after="40"/>
      </w:pPr>
      <w:r>
        <w:rPr>
          <w:rFonts w:ascii="游ゴシック" w:hAnsi="游ゴシック" w:eastAsia="游ゴシック"/>
          <w:b/>
          <w:i w:val="0"/>
          <w:color w:val="1F4D78"/>
          <w:sz w:val="22"/>
        </w:rPr>
        <w:t>【表2】県高齢者居住安定確保計画の基本</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根拠</w:t>
            </w:r>
          </w:p>
        </w:tc>
        <w:tc>
          <w:tcPr>
            <w:tcW w:type="dxa" w:w="8050"/>
            <w:vAlign w:val="center"/>
          </w:tcPr>
          <w:p>
            <w:pPr>
              <w:spacing w:before="20" w:after="20"/>
            </w:pPr>
            <w:r>
              <w:rPr>
                <w:rFonts w:ascii="游ゴシック" w:hAnsi="游ゴシック" w:eastAsia="游ゴシック"/>
                <w:b w:val="0"/>
                <w:i w:val="0"/>
                <w:sz w:val="17"/>
              </w:rPr>
              <w:t>高齢者の居住の安定確保に関する法律（高齢者住まい法。平成13年法律第26号）に基づく</w:t>
            </w:r>
            <w:r>
              <w:rPr>
                <w:rFonts w:ascii="游ゴシック" w:hAnsi="游ゴシック" w:eastAsia="游ゴシック"/>
                <w:b/>
                <w:i w:val="0"/>
                <w:sz w:val="17"/>
              </w:rPr>
              <w:t>都道府県</w:t>
            </w:r>
            <w:r>
              <w:rPr>
                <w:rFonts w:ascii="游ゴシック" w:hAnsi="游ゴシック" w:eastAsia="游ゴシック"/>
                <w:b w:val="0"/>
                <w:i w:val="0"/>
                <w:sz w:val="17"/>
              </w:rPr>
              <w:t>の高齢者居住安定確保計画</w:t>
            </w:r>
          </w:p>
        </w:tc>
      </w:tr>
      <w:tr>
        <w:tc>
          <w:tcPr>
            <w:tcW w:type="dxa" w:w="1701"/>
            <w:vAlign w:val="center"/>
          </w:tcPr>
          <w:p>
            <w:pPr>
              <w:spacing w:before="20" w:after="20"/>
            </w:pPr>
            <w:r>
              <w:rPr>
                <w:rFonts w:ascii="游ゴシック" w:hAnsi="游ゴシック" w:eastAsia="游ゴシック"/>
                <w:b w:val="0"/>
                <w:i w:val="0"/>
                <w:sz w:val="17"/>
              </w:rPr>
              <w:t>位置づけ</w:t>
            </w:r>
          </w:p>
        </w:tc>
        <w:tc>
          <w:tcPr>
            <w:tcW w:type="dxa" w:w="8050"/>
            <w:vAlign w:val="center"/>
          </w:tcPr>
          <w:p>
            <w:pPr>
              <w:spacing w:before="20" w:after="20"/>
            </w:pPr>
            <w:r>
              <w:rPr>
                <w:rFonts w:ascii="游ゴシック" w:hAnsi="游ゴシック" w:eastAsia="游ゴシック"/>
                <w:b/>
                <w:i w:val="0"/>
                <w:sz w:val="17"/>
              </w:rPr>
              <w:t>福島県住生活基本計画</w:t>
            </w:r>
            <w:r>
              <w:rPr>
                <w:rFonts w:ascii="游ゴシック" w:hAnsi="游ゴシック" w:eastAsia="游ゴシック"/>
                <w:b w:val="0"/>
                <w:i w:val="0"/>
                <w:sz w:val="17"/>
              </w:rPr>
              <w:t>（令和4〜13年度）と</w:t>
            </w:r>
            <w:r>
              <w:rPr>
                <w:rFonts w:ascii="游ゴシック" w:hAnsi="游ゴシック" w:eastAsia="游ゴシック"/>
                <w:b/>
                <w:i w:val="0"/>
                <w:sz w:val="17"/>
              </w:rPr>
              <w:t>ふくしま高齢者いきいきプラン2021</w:t>
            </w:r>
            <w:r>
              <w:rPr>
                <w:rFonts w:ascii="游ゴシック" w:hAnsi="游ゴシック" w:eastAsia="游ゴシック"/>
                <w:b w:val="0"/>
                <w:i w:val="0"/>
                <w:sz w:val="17"/>
              </w:rPr>
              <w:t>（第9次県高齢者福祉計画・第8次県介護保険事業支援計画。令和3〜5年度）の</w:t>
            </w:r>
            <w:r>
              <w:rPr>
                <w:rFonts w:ascii="游ゴシック" w:hAnsi="游ゴシック" w:eastAsia="游ゴシック"/>
                <w:b/>
                <w:i w:val="0"/>
                <w:sz w:val="17"/>
              </w:rPr>
              <w:t>施策別計画</w:t>
            </w:r>
          </w:p>
        </w:tc>
      </w:tr>
      <w:tr>
        <w:tc>
          <w:tcPr>
            <w:tcW w:type="dxa" w:w="1701"/>
            <w:vAlign w:val="center"/>
          </w:tcPr>
          <w:p>
            <w:pPr>
              <w:spacing w:before="20" w:after="20"/>
            </w:pPr>
            <w:r>
              <w:rPr>
                <w:rFonts w:ascii="游ゴシック" w:hAnsi="游ゴシック" w:eastAsia="游ゴシック"/>
                <w:b w:val="0"/>
                <w:i w:val="0"/>
                <w:sz w:val="17"/>
              </w:rPr>
              <w:t>計画期間</w:t>
            </w:r>
          </w:p>
        </w:tc>
        <w:tc>
          <w:tcPr>
            <w:tcW w:type="dxa" w:w="8050"/>
            <w:vAlign w:val="center"/>
          </w:tcPr>
          <w:p>
            <w:pPr>
              <w:spacing w:before="20" w:after="20"/>
            </w:pPr>
            <w:r>
              <w:rPr>
                <w:rFonts w:ascii="游ゴシック" w:hAnsi="游ゴシック" w:eastAsia="游ゴシック"/>
                <w:b/>
                <w:i w:val="0"/>
                <w:sz w:val="17"/>
              </w:rPr>
              <w:t>令和4年度から令和8年度までの5年間。</w:t>
            </w:r>
            <w:r>
              <w:rPr>
                <w:rFonts w:ascii="游ゴシック" w:hAnsi="游ゴシック" w:eastAsia="游ゴシック"/>
                <w:b w:val="0"/>
                <w:i w:val="0"/>
                <w:sz w:val="17"/>
              </w:rPr>
              <w:t>上位計画の改定及び高齢者を取り巻く住まいの状況等の変化に応じて必要な見直しを行うとしている</w:t>
            </w:r>
          </w:p>
        </w:tc>
      </w:tr>
      <w:tr>
        <w:tc>
          <w:tcPr>
            <w:tcW w:type="dxa" w:w="1701"/>
            <w:vAlign w:val="center"/>
          </w:tcPr>
          <w:p>
            <w:pPr>
              <w:spacing w:before="20" w:after="20"/>
            </w:pPr>
            <w:r>
              <w:rPr>
                <w:rFonts w:ascii="游ゴシック" w:hAnsi="游ゴシック" w:eastAsia="游ゴシック"/>
                <w:b w:val="0"/>
                <w:i w:val="0"/>
                <w:sz w:val="17"/>
              </w:rPr>
              <w:t>主語の扱い</w:t>
            </w:r>
          </w:p>
        </w:tc>
        <w:tc>
          <w:tcPr>
            <w:tcW w:type="dxa" w:w="8050"/>
            <w:vAlign w:val="center"/>
          </w:tcPr>
          <w:p>
            <w:pPr>
              <w:spacing w:before="20" w:after="20"/>
            </w:pPr>
            <w:r>
              <w:rPr>
                <w:rFonts w:ascii="游ゴシック" w:hAnsi="游ゴシック" w:eastAsia="游ゴシック"/>
                <w:b/>
                <w:i w:val="0"/>
                <w:sz w:val="17"/>
              </w:rPr>
              <w:t>「主語が明記されていない文章の主語は、県及び市町村とします」</w:t>
            </w:r>
            <w:r>
              <w:rPr>
                <w:rFonts w:ascii="游ゴシック" w:hAnsi="游ゴシック" w:eastAsia="游ゴシック"/>
                <w:b w:val="0"/>
                <w:i w:val="0"/>
                <w:sz w:val="17"/>
              </w:rPr>
              <w:t>と明記されている。</w:t>
            </w:r>
            <w:r>
              <w:rPr>
                <w:rFonts w:ascii="游ゴシック" w:hAnsi="游ゴシック" w:eastAsia="游ゴシック"/>
                <w:b/>
                <w:i w:val="0"/>
                <w:sz w:val="17"/>
              </w:rPr>
              <w:t>県の計画でありながら市町村に直接及ぶ</w:t>
            </w:r>
          </w:p>
        </w:tc>
      </w:tr>
      <w:tr>
        <w:tc>
          <w:tcPr>
            <w:tcW w:type="dxa" w:w="1701"/>
            <w:vAlign w:val="center"/>
          </w:tcPr>
          <w:p>
            <w:pPr>
              <w:keepNext/>
              <w:spacing w:before="20" w:after="20"/>
            </w:pPr>
            <w:r>
              <w:rPr>
                <w:rFonts w:ascii="游ゴシック" w:hAnsi="游ゴシック" w:eastAsia="游ゴシック"/>
                <w:b w:val="0"/>
                <w:i w:val="0"/>
                <w:sz w:val="17"/>
              </w:rPr>
              <w:t>基本目標</w:t>
            </w:r>
          </w:p>
        </w:tc>
        <w:tc>
          <w:tcPr>
            <w:tcW w:type="dxa" w:w="8050"/>
            <w:vAlign w:val="center"/>
          </w:tcPr>
          <w:p>
            <w:pPr>
              <w:keepNext/>
              <w:spacing w:before="20" w:after="20"/>
            </w:pPr>
            <w:r>
              <w:rPr>
                <w:rFonts w:ascii="游ゴシック" w:hAnsi="游ゴシック" w:eastAsia="游ゴシック"/>
                <w:b w:val="0"/>
                <w:i w:val="0"/>
                <w:sz w:val="17"/>
              </w:rPr>
              <w:t>「高齢者の多様なニーズに対応し、愛着ある住み慣れた地域で長く暮らす住まいの実現」</w:t>
            </w:r>
          </w:p>
        </w:tc>
      </w:tr>
      <w:tr>
        <w:tc>
          <w:tcPr>
            <w:tcW w:type="dxa" w:w="1701"/>
            <w:vAlign w:val="center"/>
          </w:tcPr>
          <w:p>
            <w:pPr>
              <w:spacing w:before="20" w:after="20"/>
            </w:pPr>
            <w:r>
              <w:rPr>
                <w:rFonts w:ascii="游ゴシック" w:hAnsi="游ゴシック" w:eastAsia="游ゴシック"/>
                <w:b w:val="0"/>
                <w:i w:val="0"/>
                <w:sz w:val="17"/>
              </w:rPr>
              <w:t>基本方針</w:t>
            </w:r>
          </w:p>
        </w:tc>
        <w:tc>
          <w:tcPr>
            <w:tcW w:type="dxa" w:w="8050"/>
            <w:vAlign w:val="center"/>
          </w:tcPr>
          <w:p>
            <w:pPr>
              <w:spacing w:before="20" w:after="20"/>
            </w:pPr>
            <w:r>
              <w:rPr>
                <w:rFonts w:ascii="游ゴシック" w:hAnsi="游ゴシック" w:eastAsia="游ゴシック"/>
                <w:b w:val="0"/>
                <w:i w:val="0"/>
                <w:sz w:val="17"/>
              </w:rPr>
              <w:t>①住み慣れた地域で暮らす快適な住まい②集まって住む活気ある暮らし③介護や医療が付加された安心な暮らし</w:t>
            </w:r>
          </w:p>
        </w:tc>
      </w:tr>
    </w:tbl>
    <w:p>
      <w:pPr>
        <w:spacing w:after="40"/>
      </w:pPr>
    </w:p>
    <w:p>
      <w:pPr>
        <w:spacing w:before="60" w:after="60"/>
      </w:pPr>
      <w:r>
        <w:rPr>
          <w:rFonts w:ascii="游ゴシック" w:hAnsi="游ゴシック" w:eastAsia="游ゴシック"/>
          <w:b/>
          <w:i w:val="0"/>
          <w:sz w:val="21"/>
        </w:rPr>
        <w:t>注目すべきは「主語の扱い」です。</w:t>
      </w:r>
      <w:r>
        <w:rPr>
          <w:rFonts w:ascii="游ゴシック" w:hAnsi="游ゴシック" w:eastAsia="游ゴシック"/>
          <w:b w:val="0"/>
          <w:i w:val="0"/>
          <w:sz w:val="21"/>
        </w:rPr>
        <w:t xml:space="preserve"> 県の計画でありながら、</w:t>
      </w:r>
      <w:r>
        <w:rPr>
          <w:rFonts w:ascii="游ゴシック" w:hAnsi="游ゴシック" w:eastAsia="游ゴシック"/>
          <w:b/>
          <w:i w:val="0"/>
          <w:sz w:val="21"/>
        </w:rPr>
        <w:t>主語が書かれていない文は県と市町村の両方が主語</w:t>
      </w:r>
      <w:r>
        <w:rPr>
          <w:rFonts w:ascii="游ゴシック" w:hAnsi="游ゴシック" w:eastAsia="游ゴシック"/>
          <w:b w:val="0"/>
          <w:i w:val="0"/>
          <w:sz w:val="21"/>
        </w:rPr>
        <w:t>であると明記されています。</w:t>
      </w:r>
      <w:r>
        <w:rPr>
          <w:rFonts w:ascii="游ゴシック" w:hAnsi="游ゴシック" w:eastAsia="游ゴシック"/>
          <w:b/>
          <w:i w:val="0"/>
          <w:sz w:val="21"/>
        </w:rPr>
        <w:t>本町に直接及ぶ計画です。</w:t>
      </w:r>
    </w:p>
    <w:p>
      <w:pPr>
        <w:pStyle w:val="Heading1"/>
        <w:keepNext/>
        <w:spacing w:before="240" w:after="100"/>
      </w:pPr>
      <w:bookmarkStart w:id="103" w:name="_Toc_003"/>
      <w:r>
        <w:rPr>
          <w:rFonts w:ascii="游ゴシック" w:hAnsi="游ゴシック" w:eastAsia="游ゴシック"/>
          <w:b/>
          <w:i w:val="0"/>
          <w:color w:val="2E74B5"/>
          <w:sz w:val="30"/>
        </w:rPr>
        <w:t>2　県計画が市町村に求めていること</w:t>
      </w:r>
      <w:bookmarkEnd w:id="103"/>
    </w:p>
    <w:p>
      <w:pPr>
        <w:spacing w:before="60" w:after="60"/>
      </w:pPr>
      <w:r>
        <w:rPr>
          <w:rFonts w:ascii="游ゴシック" w:hAnsi="游ゴシック" w:eastAsia="游ゴシック"/>
          <w:b/>
          <w:i w:val="0"/>
          <w:sz w:val="21"/>
        </w:rPr>
        <w:t>県計画は、福祉・住宅行政の主体である市町村に対して、【基本事項】3つを名指しで求めています。</w:t>
      </w:r>
    </w:p>
    <w:p>
      <w:pPr>
        <w:pStyle w:val="Heading3"/>
        <w:keepNext/>
        <w:spacing w:before="180" w:after="80"/>
      </w:pPr>
      <w:r>
        <w:rPr>
          <w:rFonts w:ascii="游ゴシック" w:hAnsi="游ゴシック" w:eastAsia="游ゴシック"/>
          <w:b/>
          <w:i w:val="0"/>
          <w:color w:val="1F4D78"/>
          <w:sz w:val="22"/>
        </w:rPr>
        <w:t>① 適確な現状把握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keepNext/>
              <w:spacing w:before="20" w:after="20"/>
            </w:pPr>
            <w:r>
              <w:rPr>
                <w:rFonts w:ascii="游ゴシック" w:hAnsi="游ゴシック" w:eastAsia="游ゴシック"/>
                <w:b w:val="0"/>
                <w:i w:val="0"/>
                <w:sz w:val="17"/>
              </w:rPr>
              <w:t>県計画の記述</w:t>
            </w:r>
          </w:p>
        </w:tc>
        <w:tc>
          <w:tcPr>
            <w:tcW w:type="dxa" w:w="7824"/>
            <w:vAlign w:val="center"/>
          </w:tcPr>
          <w:p>
            <w:pPr>
              <w:keepNext/>
              <w:spacing w:before="20" w:after="20"/>
            </w:pPr>
            <w:r>
              <w:rPr>
                <w:rFonts w:ascii="游ゴシック" w:hAnsi="游ゴシック" w:eastAsia="游ゴシック"/>
                <w:b w:val="0"/>
                <w:i w:val="0"/>
                <w:sz w:val="17"/>
              </w:rPr>
              <w:t>地域における高齢者の居住実態（住まい・サービス）や居住ニーズ等の把握</w:t>
            </w:r>
          </w:p>
        </w:tc>
      </w:tr>
      <w:tr>
        <w:tc>
          <w:tcPr>
            <w:tcW w:type="dxa" w:w="1928"/>
            <w:vAlign w:val="center"/>
          </w:tcPr>
          <w:p>
            <w:pPr>
              <w:spacing w:before="20" w:after="20"/>
            </w:pPr>
            <w:r>
              <w:rPr>
                <w:rFonts w:ascii="游ゴシック" w:hAnsi="游ゴシック" w:eastAsia="游ゴシック"/>
                <w:b/>
                <w:i w:val="0"/>
                <w:sz w:val="17"/>
              </w:rPr>
              <w:t>本町への当たり</w:t>
            </w:r>
          </w:p>
        </w:tc>
        <w:tc>
          <w:tcPr>
            <w:tcW w:type="dxa" w:w="7824"/>
            <w:vAlign w:val="center"/>
          </w:tcPr>
          <w:p>
            <w:pPr>
              <w:spacing w:before="20" w:after="20"/>
            </w:pPr>
            <w:r>
              <w:rPr>
                <w:rFonts w:ascii="游ゴシック" w:hAnsi="游ゴシック" w:eastAsia="游ゴシック"/>
                <w:b/>
                <w:i w:val="0"/>
                <w:sz w:val="17"/>
              </w:rPr>
              <w:t>改正介護保険法第117条第5項第1号の勘案義務と同じ方向。</w:t>
            </w:r>
            <w:r>
              <w:rPr>
                <w:rFonts w:ascii="游ゴシック" w:hAnsi="游ゴシック" w:eastAsia="游ゴシック"/>
                <w:b w:val="0"/>
                <w:i w:val="0"/>
                <w:sz w:val="17"/>
              </w:rPr>
              <w:t>町内の有料老人ホーム・登録住宅の有無と入居定員（照会Ａ-3）が</w:t>
            </w:r>
            <w:r>
              <w:rPr>
                <w:rFonts w:ascii="游ゴシック" w:hAnsi="游ゴシック" w:eastAsia="游ゴシック"/>
                <w:b/>
                <w:i w:val="0"/>
                <w:sz w:val="17"/>
              </w:rPr>
              <w:t>法と県計画の両方から求められていることになる</w:t>
            </w:r>
          </w:p>
        </w:tc>
      </w:tr>
    </w:tbl>
    <w:p>
      <w:pPr>
        <w:spacing w:after="40"/>
      </w:pPr>
    </w:p>
    <w:p>
      <w:pPr>
        <w:pStyle w:val="Heading3"/>
        <w:keepNext/>
        <w:spacing w:before="180" w:after="80"/>
      </w:pPr>
      <w:r>
        <w:rPr>
          <w:rFonts w:ascii="游ゴシック" w:hAnsi="游ゴシック" w:eastAsia="游ゴシック"/>
          <w:b/>
          <w:i w:val="0"/>
          <w:color w:val="1F4D78"/>
          <w:sz w:val="22"/>
        </w:rPr>
        <w:t>② 住まい・サービスの適正な供給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keepNext/>
              <w:spacing w:before="20" w:after="20"/>
            </w:pPr>
            <w:r>
              <w:rPr>
                <w:rFonts w:ascii="游ゴシック" w:hAnsi="游ゴシック" w:eastAsia="游ゴシック"/>
                <w:b w:val="0"/>
                <w:i w:val="0"/>
                <w:sz w:val="17"/>
              </w:rPr>
              <w:t>県計画の記述</w:t>
            </w:r>
          </w:p>
        </w:tc>
        <w:tc>
          <w:tcPr>
            <w:tcW w:type="dxa" w:w="7824"/>
            <w:vAlign w:val="center"/>
          </w:tcPr>
          <w:p>
            <w:pPr>
              <w:keepNext/>
              <w:spacing w:before="20" w:after="20"/>
            </w:pPr>
            <w:r>
              <w:rPr>
                <w:rFonts w:ascii="游ゴシック" w:hAnsi="游ゴシック" w:eastAsia="游ゴシック"/>
                <w:b w:val="0"/>
                <w:i w:val="0"/>
                <w:sz w:val="17"/>
              </w:rPr>
              <w:t>持家、公的住宅（公営住宅・セーフティネット住宅等）、民間の賃貸住宅、サービス付き高齢者向け住宅、老人ホームなど、</w:t>
            </w:r>
            <w:r>
              <w:rPr>
                <w:rFonts w:ascii="游ゴシック" w:hAnsi="游ゴシック" w:eastAsia="游ゴシック"/>
                <w:b/>
                <w:i w:val="0"/>
                <w:sz w:val="17"/>
              </w:rPr>
              <w:t>各々の住まいの役割に応じた必要量の把握と供給量の調整</w:t>
            </w:r>
            <w:r>
              <w:rPr>
                <w:rFonts w:ascii="游ゴシック" w:hAnsi="游ゴシック" w:eastAsia="游ゴシック"/>
                <w:b w:val="0"/>
                <w:i w:val="0"/>
                <w:sz w:val="17"/>
              </w:rPr>
              <w:t>、介護サービスの適正な供給</w:t>
            </w:r>
          </w:p>
        </w:tc>
      </w:tr>
      <w:tr>
        <w:tc>
          <w:tcPr>
            <w:tcW w:type="dxa" w:w="1928"/>
            <w:vAlign w:val="center"/>
          </w:tcPr>
          <w:p>
            <w:pPr>
              <w:spacing w:before="20" w:after="20"/>
            </w:pPr>
            <w:r>
              <w:rPr>
                <w:rFonts w:ascii="游ゴシック" w:hAnsi="游ゴシック" w:eastAsia="游ゴシック"/>
                <w:b/>
                <w:i w:val="0"/>
                <w:sz w:val="17"/>
              </w:rPr>
              <w:t>本町への当たり</w:t>
            </w:r>
          </w:p>
        </w:tc>
        <w:tc>
          <w:tcPr>
            <w:tcW w:type="dxa" w:w="7824"/>
            <w:vAlign w:val="center"/>
          </w:tcPr>
          <w:p>
            <w:pPr>
              <w:spacing w:before="20" w:after="20"/>
            </w:pPr>
            <w:r>
              <w:rPr>
                <w:rFonts w:ascii="游ゴシック" w:hAnsi="游ゴシック" w:eastAsia="游ゴシック"/>
                <w:b/>
                <w:i w:val="0"/>
                <w:sz w:val="17"/>
              </w:rPr>
              <w:t>「必要量の把握と供給量の調整」は、介護保険の必要利用定員総数（第117条第2項第1号）と対になる考え方。</w:t>
            </w:r>
            <w:r>
              <w:rPr>
                <w:rFonts w:ascii="游ゴシック" w:hAnsi="游ゴシック" w:eastAsia="游ゴシック"/>
                <w:b w:val="0"/>
                <w:i w:val="0"/>
                <w:sz w:val="17"/>
              </w:rPr>
              <w:t>第2章5・第6章8に接続する</w:t>
            </w:r>
          </w:p>
        </w:tc>
      </w:tr>
    </w:tbl>
    <w:p>
      <w:pPr>
        <w:spacing w:after="40"/>
      </w:pPr>
    </w:p>
    <w:p>
      <w:pPr>
        <w:pStyle w:val="Heading3"/>
        <w:keepNext/>
        <w:spacing w:before="180" w:after="80"/>
      </w:pPr>
      <w:r>
        <w:rPr>
          <w:rFonts w:ascii="游ゴシック" w:hAnsi="游ゴシック" w:eastAsia="游ゴシック"/>
          <w:b/>
          <w:i w:val="0"/>
          <w:color w:val="1F4D78"/>
          <w:sz w:val="22"/>
        </w:rPr>
        <w:t>③ 住宅に居住する高齢者への支援確保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keepNext/>
              <w:spacing w:before="20" w:after="20"/>
            </w:pPr>
            <w:r>
              <w:rPr>
                <w:rFonts w:ascii="游ゴシック" w:hAnsi="游ゴシック" w:eastAsia="游ゴシック"/>
                <w:b w:val="0"/>
                <w:i w:val="0"/>
                <w:sz w:val="17"/>
              </w:rPr>
              <w:t>県計画の記述</w:t>
            </w:r>
          </w:p>
        </w:tc>
        <w:tc>
          <w:tcPr>
            <w:tcW w:type="dxa" w:w="7824"/>
            <w:vAlign w:val="center"/>
          </w:tcPr>
          <w:p>
            <w:pPr>
              <w:keepNext/>
              <w:spacing w:before="20" w:after="20"/>
            </w:pPr>
            <w:r>
              <w:rPr>
                <w:rFonts w:ascii="游ゴシック" w:hAnsi="游ゴシック" w:eastAsia="游ゴシック"/>
                <w:b w:val="0"/>
                <w:i w:val="0"/>
                <w:sz w:val="17"/>
              </w:rPr>
              <w:t>持家・賃貸住宅に居住する単身高齢者等に対する、バリアフリー改修支援、地域密着型サービスの充実</w:t>
            </w:r>
          </w:p>
        </w:tc>
      </w:tr>
      <w:tr>
        <w:tc>
          <w:tcPr>
            <w:tcW w:type="dxa" w:w="1928"/>
            <w:vAlign w:val="center"/>
          </w:tcPr>
          <w:p>
            <w:pPr>
              <w:spacing w:before="20" w:after="20"/>
            </w:pPr>
            <w:r>
              <w:rPr>
                <w:rFonts w:ascii="游ゴシック" w:hAnsi="游ゴシック" w:eastAsia="游ゴシック"/>
                <w:b/>
                <w:i w:val="0"/>
                <w:sz w:val="17"/>
              </w:rPr>
              <w:t>本町への当たり</w:t>
            </w:r>
          </w:p>
        </w:tc>
        <w:tc>
          <w:tcPr>
            <w:tcW w:type="dxa" w:w="7824"/>
            <w:vAlign w:val="center"/>
          </w:tcPr>
          <w:p>
            <w:pPr>
              <w:spacing w:before="20" w:after="20"/>
            </w:pPr>
            <w:r>
              <w:rPr>
                <w:rFonts w:ascii="游ゴシック" w:hAnsi="游ゴシック" w:eastAsia="游ゴシック"/>
                <w:b/>
                <w:i w:val="0"/>
                <w:sz w:val="17"/>
              </w:rPr>
              <w:t>本町に住まいの施策がないことが、ここで浮かび上がる。</w:t>
            </w:r>
            <w:r>
              <w:rPr>
                <w:rFonts w:ascii="游ゴシック" w:hAnsi="游ゴシック" w:eastAsia="游ゴシック"/>
                <w:b w:val="0"/>
                <w:i w:val="0"/>
                <w:sz w:val="17"/>
              </w:rPr>
              <w:t>第5章に置くかを判断する</w:t>
            </w:r>
          </w:p>
        </w:tc>
      </w:tr>
    </w:tbl>
    <w:p>
      <w:pPr>
        <w:spacing w:after="40"/>
      </w:pPr>
    </w:p>
    <w:p>
      <w:pPr>
        <w:spacing w:before="60" w:after="60"/>
      </w:pPr>
      <w:r>
        <w:rPr>
          <w:rFonts w:ascii="游ゴシック" w:hAnsi="游ゴシック" w:eastAsia="游ゴシック"/>
          <w:b/>
          <w:i w:val="0"/>
          <w:sz w:val="21"/>
        </w:rPr>
        <w:t>①と②は、改正介護保険法第117条第5項第1号の勘案義務と同じ方向を向いています。</w:t>
      </w:r>
      <w:r>
        <w:rPr>
          <w:rFonts w:ascii="游ゴシック" w:hAnsi="游ゴシック" w:eastAsia="游ゴシック"/>
          <w:b w:val="0"/>
          <w:i w:val="0"/>
          <w:sz w:val="21"/>
        </w:rPr>
        <w:t xml:space="preserve"> 町内の有料老人ホーム・登録住宅の有無と入居定員（照会Ａ-3）は、</w:t>
      </w:r>
      <w:r>
        <w:rPr>
          <w:rFonts w:ascii="游ゴシック" w:hAnsi="游ゴシック" w:eastAsia="游ゴシック"/>
          <w:b/>
          <w:i w:val="0"/>
          <w:sz w:val="21"/>
        </w:rPr>
        <w:t>法と県計画の両方から求められていることになります。</w:t>
      </w:r>
      <w:r>
        <w:rPr>
          <w:rFonts w:ascii="游ゴシック" w:hAnsi="游ゴシック" w:eastAsia="游ゴシック"/>
          <w:b w:val="0"/>
          <w:i w:val="0"/>
          <w:sz w:val="21"/>
        </w:rPr>
        <w:t>照会の重みが増しました。</w:t>
      </w:r>
    </w:p>
    <w:p>
      <w:pPr>
        <w:pStyle w:val="Heading1"/>
        <w:keepNext/>
        <w:spacing w:before="240" w:after="100"/>
      </w:pPr>
      <w:bookmarkStart w:id="104" w:name="_Toc_004"/>
      <w:r>
        <w:rPr>
          <w:rFonts w:ascii="游ゴシック" w:hAnsi="游ゴシック" w:eastAsia="游ゴシック"/>
          <w:b/>
          <w:i w:val="0"/>
          <w:color w:val="2E74B5"/>
          <w:sz w:val="30"/>
        </w:rPr>
        <w:t>3　中通りの課題と対策</w:t>
      </w:r>
      <w:bookmarkEnd w:id="104"/>
    </w:p>
    <w:p>
      <w:pPr>
        <w:spacing w:before="60" w:after="60"/>
      </w:pPr>
      <w:r>
        <w:rPr>
          <w:rFonts w:ascii="游ゴシック" w:hAnsi="游ゴシック" w:eastAsia="游ゴシック"/>
          <w:b/>
          <w:i w:val="0"/>
          <w:sz w:val="21"/>
        </w:rPr>
        <w:t>県計画は生活圏域ごと（中通り・会津・浜通り）に施策を置いています。</w:t>
      </w:r>
      <w:r>
        <w:rPr>
          <w:rFonts w:ascii="游ゴシック" w:hAnsi="游ゴシック" w:eastAsia="游ゴシック"/>
          <w:b w:val="0"/>
          <w:i w:val="0"/>
          <w:sz w:val="21"/>
        </w:rPr>
        <w:t>本町は田村郡であり、</w:t>
      </w:r>
      <w:r>
        <w:rPr>
          <w:rFonts w:ascii="游ゴシック" w:hAnsi="游ゴシック" w:eastAsia="游ゴシック"/>
          <w:b/>
          <w:i w:val="0"/>
          <w:sz w:val="21"/>
        </w:rPr>
        <w:t>中通り</w:t>
      </w:r>
      <w:r>
        <w:rPr>
          <w:rFonts w:ascii="游ゴシック" w:hAnsi="游ゴシック" w:eastAsia="游ゴシック"/>
          <w:b w:val="0"/>
          <w:i w:val="0"/>
          <w:sz w:val="21"/>
        </w:rPr>
        <w:t>に属します。</w:t>
      </w:r>
    </w:p>
    <w:p>
      <w:pPr>
        <w:pStyle w:val="Heading2"/>
        <w:keepNext/>
        <w:spacing w:before="180" w:after="100"/>
      </w:pPr>
      <w:bookmarkStart w:id="105" w:name="_Toc_005"/>
      <w:r>
        <w:rPr>
          <w:rFonts w:ascii="游ゴシック" w:hAnsi="游ゴシック" w:eastAsia="游ゴシック"/>
          <w:b/>
          <w:i w:val="0"/>
          <w:color w:val="2E74B5"/>
          <w:sz w:val="25"/>
        </w:rPr>
        <w:t>3-1　中通りの現状・課題</w:t>
      </w:r>
      <w:bookmarkEnd w:id="105"/>
    </w:p>
    <w:p>
      <w:pPr>
        <w:keepNext/>
        <w:spacing w:before="200" w:after="40"/>
      </w:pPr>
      <w:r>
        <w:rPr>
          <w:rFonts w:ascii="游ゴシック" w:hAnsi="游ゴシック" w:eastAsia="游ゴシック"/>
          <w:b/>
          <w:i w:val="0"/>
          <w:color w:val="1F4D78"/>
          <w:sz w:val="22"/>
        </w:rPr>
        <w:t>【表3】中通りの現状・課題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762"/>
        <w:gridCol w:w="4989"/>
      </w:tblGrid>
      <w:tr>
        <w:tc>
          <w:tcPr>
            <w:tcW w:type="dxa" w:w="4762"/>
            <w:shd w:val="clear" w:fill="1F3864"/>
            <w:vAlign w:val="center"/>
          </w:tcPr>
          <w:p>
            <w:pPr>
              <w:spacing w:before="20" w:after="20"/>
              <w:jc w:val="center"/>
            </w:pPr>
            <w:r>
              <w:rPr>
                <w:rFonts w:ascii="游ゴシック" w:hAnsi="游ゴシック" w:eastAsia="游ゴシック"/>
                <w:b/>
                <w:i w:val="0"/>
                <w:color w:val="FFFFFF"/>
                <w:sz w:val="17"/>
              </w:rPr>
              <w:t>県計画が挙げる課題</w:t>
            </w:r>
          </w:p>
        </w:tc>
        <w:tc>
          <w:tcPr>
            <w:tcW w:type="dxa" w:w="4989"/>
            <w:shd w:val="clear" w:fill="1F3864"/>
            <w:vAlign w:val="center"/>
          </w:tcPr>
          <w:p>
            <w:pPr>
              <w:spacing w:before="20" w:after="20"/>
              <w:jc w:val="center"/>
            </w:pPr>
            <w:r>
              <w:rPr>
                <w:rFonts w:ascii="游ゴシック" w:hAnsi="游ゴシック" w:eastAsia="游ゴシック"/>
                <w:b/>
                <w:i w:val="0"/>
                <w:color w:val="FFFFFF"/>
                <w:sz w:val="17"/>
              </w:rPr>
              <w:t>本町でどこに当たるか</w:t>
            </w:r>
          </w:p>
        </w:tc>
      </w:tr>
      <w:tr>
        <w:tc>
          <w:tcPr>
            <w:tcW w:type="dxa" w:w="4762"/>
            <w:vAlign w:val="center"/>
          </w:tcPr>
          <w:p>
            <w:pPr>
              <w:spacing w:before="20" w:after="20"/>
            </w:pPr>
            <w:r>
              <w:rPr>
                <w:rFonts w:ascii="游ゴシック" w:hAnsi="游ゴシック" w:eastAsia="游ゴシック"/>
                <w:b w:val="0"/>
                <w:i w:val="0"/>
                <w:sz w:val="17"/>
              </w:rPr>
              <w:t>高齢世帯の住宅でバリアフリー化の割合が低い。</w:t>
            </w:r>
            <w:r>
              <w:rPr>
                <w:rFonts w:ascii="游ゴシック" w:hAnsi="游ゴシック" w:eastAsia="游ゴシック"/>
                <w:b/>
                <w:i w:val="0"/>
                <w:sz w:val="17"/>
              </w:rPr>
              <w:t>特に借家で低い</w:t>
            </w:r>
          </w:p>
        </w:tc>
        <w:tc>
          <w:tcPr>
            <w:tcW w:type="dxa" w:w="4989"/>
            <w:vAlign w:val="center"/>
          </w:tcPr>
          <w:p>
            <w:pPr>
              <w:spacing w:before="20" w:after="20"/>
            </w:pPr>
            <w:r>
              <w:rPr>
                <w:rFonts w:ascii="游ゴシック" w:hAnsi="游ゴシック" w:eastAsia="游ゴシック"/>
                <w:b/>
                <w:i w:val="0"/>
                <w:sz w:val="17"/>
              </w:rPr>
              <w:t>本町の持家率・借家率は素案にない。</w:t>
            </w:r>
            <w:r>
              <w:rPr>
                <w:rFonts w:ascii="游ゴシック" w:hAnsi="游ゴシック" w:eastAsia="游ゴシック"/>
                <w:b w:val="0"/>
                <w:i w:val="0"/>
                <w:sz w:val="17"/>
              </w:rPr>
              <w:t>ニーズ調査に住宅の設問があるかを確かめる</w:t>
            </w:r>
          </w:p>
        </w:tc>
      </w:tr>
      <w:tr>
        <w:tc>
          <w:tcPr>
            <w:tcW w:type="dxa" w:w="4762"/>
            <w:vAlign w:val="center"/>
          </w:tcPr>
          <w:p>
            <w:pPr>
              <w:spacing w:before="20" w:after="20"/>
            </w:pPr>
            <w:r>
              <w:rPr>
                <w:rFonts w:ascii="游ゴシック" w:hAnsi="游ゴシック" w:eastAsia="游ゴシック"/>
                <w:b w:val="0"/>
                <w:i w:val="0"/>
                <w:sz w:val="17"/>
              </w:rPr>
              <w:t>プレシニアへの住宅改修や住替等の啓発が不十分</w:t>
            </w:r>
          </w:p>
        </w:tc>
        <w:tc>
          <w:tcPr>
            <w:tcW w:type="dxa" w:w="4989"/>
            <w:vAlign w:val="center"/>
          </w:tcPr>
          <w:p>
            <w:pPr>
              <w:spacing w:before="20" w:after="20"/>
            </w:pPr>
            <w:r>
              <w:rPr>
                <w:rFonts w:ascii="游ゴシック" w:hAnsi="游ゴシック" w:eastAsia="游ゴシック"/>
                <w:b w:val="0"/>
                <w:i w:val="0"/>
                <w:sz w:val="17"/>
              </w:rPr>
              <w:t>第5章 基本目標1（介護予防）に隣接</w:t>
            </w:r>
          </w:p>
        </w:tc>
      </w:tr>
      <w:tr>
        <w:tc>
          <w:tcPr>
            <w:tcW w:type="dxa" w:w="4762"/>
            <w:vAlign w:val="center"/>
          </w:tcPr>
          <w:p>
            <w:pPr>
              <w:spacing w:before="20" w:after="20"/>
            </w:pPr>
            <w:r>
              <w:rPr>
                <w:rFonts w:ascii="游ゴシック" w:hAnsi="游ゴシック" w:eastAsia="游ゴシック"/>
                <w:b w:val="0"/>
                <w:i w:val="0"/>
                <w:sz w:val="17"/>
              </w:rPr>
              <w:t>在宅医療・介護に対する需要が増加している</w:t>
            </w:r>
          </w:p>
        </w:tc>
        <w:tc>
          <w:tcPr>
            <w:tcW w:type="dxa" w:w="4989"/>
            <w:vAlign w:val="center"/>
          </w:tcPr>
          <w:p>
            <w:pPr>
              <w:spacing w:before="20" w:after="20"/>
            </w:pPr>
            <w:r>
              <w:rPr>
                <w:rFonts w:ascii="游ゴシック" w:hAnsi="游ゴシック" w:eastAsia="游ゴシック"/>
                <w:b/>
                <w:i w:val="0"/>
                <w:sz w:val="17"/>
              </w:rPr>
              <w:t>第5章 基本目標2⑦（4つの場面）に直結</w:t>
            </w:r>
          </w:p>
        </w:tc>
      </w:tr>
      <w:tr>
        <w:tc>
          <w:tcPr>
            <w:tcW w:type="dxa" w:w="4762"/>
            <w:vAlign w:val="center"/>
          </w:tcPr>
          <w:p>
            <w:pPr>
              <w:spacing w:before="20" w:after="20"/>
            </w:pPr>
            <w:r>
              <w:rPr>
                <w:rFonts w:ascii="游ゴシック" w:hAnsi="游ゴシック" w:eastAsia="游ゴシック"/>
                <w:b/>
                <w:i w:val="0"/>
                <w:sz w:val="17"/>
              </w:rPr>
              <w:t>住宅に関する相談先等の周知が不十分である</w:t>
            </w:r>
          </w:p>
        </w:tc>
        <w:tc>
          <w:tcPr>
            <w:tcW w:type="dxa" w:w="4989"/>
            <w:vAlign w:val="center"/>
          </w:tcPr>
          <w:p>
            <w:pPr>
              <w:spacing w:before="20" w:after="20"/>
            </w:pPr>
            <w:r>
              <w:rPr>
                <w:rFonts w:ascii="游ゴシック" w:hAnsi="游ゴシック" w:eastAsia="游ゴシック"/>
                <w:b/>
                <w:i w:val="0"/>
                <w:sz w:val="17"/>
              </w:rPr>
              <w:t>地域包括支援センターの総合相談に当たる。</w:t>
            </w:r>
            <w:r>
              <w:rPr>
                <w:rFonts w:ascii="游ゴシック" w:hAnsi="游ゴシック" w:eastAsia="游ゴシック"/>
                <w:b w:val="0"/>
                <w:i w:val="0"/>
                <w:sz w:val="17"/>
              </w:rPr>
              <w:t>第5章 基本目標3①</w:t>
            </w:r>
          </w:p>
        </w:tc>
      </w:tr>
      <w:tr>
        <w:tc>
          <w:tcPr>
            <w:tcW w:type="dxa" w:w="4762"/>
            <w:vAlign w:val="center"/>
          </w:tcPr>
          <w:p>
            <w:pPr>
              <w:keepNext/>
              <w:spacing w:before="20" w:after="20"/>
            </w:pPr>
            <w:r>
              <w:rPr>
                <w:rFonts w:ascii="游ゴシック" w:hAnsi="游ゴシック" w:eastAsia="游ゴシック"/>
                <w:b w:val="0"/>
                <w:i w:val="0"/>
                <w:sz w:val="17"/>
              </w:rPr>
              <w:t>地域コミュニティから孤立する高齢者が増加している</w:t>
            </w:r>
          </w:p>
        </w:tc>
        <w:tc>
          <w:tcPr>
            <w:tcW w:type="dxa" w:w="4989"/>
            <w:vAlign w:val="center"/>
          </w:tcPr>
          <w:p>
            <w:pPr>
              <w:keepNext/>
              <w:spacing w:before="20" w:after="20"/>
            </w:pPr>
            <w:r>
              <w:rPr>
                <w:rFonts w:ascii="游ゴシック" w:hAnsi="游ゴシック" w:eastAsia="游ゴシック"/>
                <w:b w:val="0"/>
                <w:i w:val="0"/>
                <w:sz w:val="17"/>
              </w:rPr>
              <w:t>第5章 基本目標1②（通いの場）・第3期地域福祉計画</w:t>
            </w:r>
          </w:p>
        </w:tc>
      </w:tr>
      <w:tr>
        <w:tc>
          <w:tcPr>
            <w:tcW w:type="dxa" w:w="4762"/>
            <w:vAlign w:val="center"/>
          </w:tcPr>
          <w:p>
            <w:pPr>
              <w:spacing w:before="20" w:after="20"/>
            </w:pPr>
            <w:r>
              <w:rPr>
                <w:rFonts w:ascii="游ゴシック" w:hAnsi="游ゴシック" w:eastAsia="游ゴシック"/>
                <w:b w:val="0"/>
                <w:i w:val="0"/>
                <w:sz w:val="17"/>
              </w:rPr>
              <w:t>在宅で暮らし続けるため、人材の確保と訪問サービス等の充実を図る必要</w:t>
            </w:r>
          </w:p>
        </w:tc>
        <w:tc>
          <w:tcPr>
            <w:tcW w:type="dxa" w:w="4989"/>
            <w:vAlign w:val="center"/>
          </w:tcPr>
          <w:p>
            <w:pPr>
              <w:spacing w:before="20" w:after="20"/>
            </w:pPr>
            <w:r>
              <w:rPr>
                <w:rFonts w:ascii="游ゴシック" w:hAnsi="游ゴシック" w:eastAsia="游ゴシック"/>
                <w:b/>
                <w:i w:val="0"/>
                <w:sz w:val="17"/>
              </w:rPr>
              <w:t>第6章11（将来に向けたサービス提供体制の確保に関する施策）に直結</w:t>
            </w:r>
          </w:p>
        </w:tc>
      </w:tr>
    </w:tbl>
    <w:p>
      <w:pPr>
        <w:spacing w:after="40"/>
      </w:pPr>
    </w:p>
    <w:p>
      <w:pPr>
        <w:pStyle w:val="Heading2"/>
        <w:keepNext/>
        <w:spacing w:before="180" w:after="100"/>
      </w:pPr>
      <w:bookmarkStart w:id="106" w:name="_Toc_006"/>
      <w:r>
        <w:rPr>
          <w:rFonts w:ascii="游ゴシック" w:hAnsi="游ゴシック" w:eastAsia="游ゴシック"/>
          <w:b/>
          <w:i w:val="0"/>
          <w:color w:val="2E74B5"/>
          <w:sz w:val="25"/>
        </w:rPr>
        <w:t>3-2　中通りの具体的取組</w:t>
      </w:r>
      <w:bookmarkEnd w:id="106"/>
    </w:p>
    <w:p>
      <w:pPr>
        <w:keepNext/>
        <w:spacing w:before="200" w:after="40"/>
      </w:pPr>
      <w:r>
        <w:rPr>
          <w:rFonts w:ascii="游ゴシック" w:hAnsi="游ゴシック" w:eastAsia="游ゴシック"/>
          <w:b/>
          <w:i w:val="0"/>
          <w:color w:val="1F4D78"/>
          <w:sz w:val="22"/>
        </w:rPr>
        <w:t>【表4】中通りの具体的取組</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762"/>
        <w:gridCol w:w="4989"/>
      </w:tblGrid>
      <w:tr>
        <w:tc>
          <w:tcPr>
            <w:tcW w:type="dxa" w:w="4762"/>
            <w:shd w:val="clear" w:fill="1F3864"/>
            <w:vAlign w:val="center"/>
          </w:tcPr>
          <w:p>
            <w:pPr>
              <w:spacing w:before="20" w:after="20"/>
              <w:jc w:val="center"/>
            </w:pPr>
            <w:r>
              <w:rPr>
                <w:rFonts w:ascii="游ゴシック" w:hAnsi="游ゴシック" w:eastAsia="游ゴシック"/>
                <w:b/>
                <w:i w:val="0"/>
                <w:color w:val="FFFFFF"/>
                <w:sz w:val="17"/>
              </w:rPr>
              <w:t>県計画が挙げる取組</w:t>
            </w:r>
          </w:p>
        </w:tc>
        <w:tc>
          <w:tcPr>
            <w:tcW w:type="dxa" w:w="4989"/>
            <w:shd w:val="clear" w:fill="1F3864"/>
            <w:vAlign w:val="center"/>
          </w:tcPr>
          <w:p>
            <w:pPr>
              <w:spacing w:before="20" w:after="20"/>
              <w:jc w:val="center"/>
            </w:pPr>
            <w:r>
              <w:rPr>
                <w:rFonts w:ascii="游ゴシック" w:hAnsi="游ゴシック" w:eastAsia="游ゴシック"/>
                <w:b/>
                <w:i w:val="0"/>
                <w:color w:val="FFFFFF"/>
                <w:sz w:val="17"/>
              </w:rPr>
              <w:t>本町でどこに当たるか</w:t>
            </w:r>
          </w:p>
        </w:tc>
      </w:tr>
      <w:tr>
        <w:tc>
          <w:tcPr>
            <w:tcW w:type="dxa" w:w="4762"/>
            <w:vAlign w:val="center"/>
          </w:tcPr>
          <w:p>
            <w:pPr>
              <w:spacing w:before="20" w:after="20"/>
            </w:pPr>
            <w:r>
              <w:rPr>
                <w:rFonts w:ascii="游ゴシック" w:hAnsi="游ゴシック" w:eastAsia="游ゴシック"/>
                <w:b w:val="0"/>
                <w:i w:val="0"/>
                <w:sz w:val="17"/>
              </w:rPr>
              <w:t>耐震化、断熱化、バリアフリー化など住宅改修への補助</w:t>
            </w:r>
          </w:p>
        </w:tc>
        <w:tc>
          <w:tcPr>
            <w:tcW w:type="dxa" w:w="4989"/>
            <w:vAlign w:val="center"/>
          </w:tcPr>
          <w:p>
            <w:pPr>
              <w:spacing w:before="20" w:after="20"/>
            </w:pPr>
            <w:r>
              <w:rPr>
                <w:rFonts w:ascii="游ゴシック" w:hAnsi="游ゴシック" w:eastAsia="游ゴシック"/>
                <w:b w:val="0"/>
                <w:i w:val="0"/>
                <w:sz w:val="17"/>
              </w:rPr>
              <w:t>町の制度の有無を確かめる</w:t>
            </w:r>
          </w:p>
        </w:tc>
      </w:tr>
      <w:tr>
        <w:tc>
          <w:tcPr>
            <w:tcW w:type="dxa" w:w="4762"/>
            <w:vAlign w:val="center"/>
          </w:tcPr>
          <w:p>
            <w:pPr>
              <w:spacing w:before="20" w:after="20"/>
            </w:pPr>
            <w:r>
              <w:rPr>
                <w:rFonts w:ascii="游ゴシック" w:hAnsi="游ゴシック" w:eastAsia="游ゴシック"/>
                <w:b w:val="0"/>
                <w:i w:val="0"/>
                <w:sz w:val="17"/>
              </w:rPr>
              <w:t>高齢者向け返済特例制度（リフォーム融資）の活用支援</w:t>
            </w:r>
          </w:p>
        </w:tc>
        <w:tc>
          <w:tcPr>
            <w:tcW w:type="dxa" w:w="4989"/>
            <w:vAlign w:val="center"/>
          </w:tcPr>
          <w:p>
            <w:pPr>
              <w:spacing w:before="20" w:after="20"/>
            </w:pPr>
            <w:r>
              <w:rPr>
                <w:rFonts w:ascii="游ゴシック" w:hAnsi="游ゴシック" w:eastAsia="游ゴシック"/>
                <w:b w:val="0"/>
                <w:i w:val="0"/>
                <w:sz w:val="17"/>
              </w:rPr>
              <w:t>周知の役割</w:t>
            </w:r>
          </w:p>
        </w:tc>
      </w:tr>
      <w:tr>
        <w:tc>
          <w:tcPr>
            <w:tcW w:type="dxa" w:w="4762"/>
            <w:vAlign w:val="center"/>
          </w:tcPr>
          <w:p>
            <w:pPr>
              <w:spacing w:before="20" w:after="20"/>
            </w:pPr>
            <w:r>
              <w:rPr>
                <w:rFonts w:ascii="游ゴシック" w:hAnsi="游ゴシック" w:eastAsia="游ゴシック"/>
                <w:b w:val="0"/>
                <w:i w:val="0"/>
                <w:sz w:val="17"/>
              </w:rPr>
              <w:t>プレシニアを対象とした住宅リフォームや住替に関する講習会等の開催</w:t>
            </w:r>
          </w:p>
        </w:tc>
        <w:tc>
          <w:tcPr>
            <w:tcW w:type="dxa" w:w="4989"/>
            <w:vAlign w:val="center"/>
          </w:tcPr>
          <w:p>
            <w:pPr>
              <w:spacing w:before="20" w:after="20"/>
            </w:pPr>
            <w:r>
              <w:rPr>
                <w:rFonts w:ascii="游ゴシック" w:hAnsi="游ゴシック" w:eastAsia="游ゴシック"/>
                <w:b w:val="0"/>
                <w:i w:val="0"/>
                <w:sz w:val="17"/>
              </w:rPr>
              <w:t>―</w:t>
            </w:r>
          </w:p>
        </w:tc>
      </w:tr>
      <w:tr>
        <w:tc>
          <w:tcPr>
            <w:tcW w:type="dxa" w:w="4762"/>
            <w:vAlign w:val="center"/>
          </w:tcPr>
          <w:p>
            <w:pPr>
              <w:spacing w:before="20" w:after="20"/>
            </w:pPr>
            <w:r>
              <w:rPr>
                <w:rFonts w:ascii="游ゴシック" w:hAnsi="游ゴシック" w:eastAsia="游ゴシック"/>
                <w:b w:val="0"/>
                <w:i w:val="0"/>
                <w:sz w:val="17"/>
              </w:rPr>
              <w:t>ライフステージに応じた住替に関する説明会の開催や相談の実施</w:t>
            </w:r>
          </w:p>
        </w:tc>
        <w:tc>
          <w:tcPr>
            <w:tcW w:type="dxa" w:w="4989"/>
            <w:vAlign w:val="center"/>
          </w:tcPr>
          <w:p>
            <w:pPr>
              <w:spacing w:before="20" w:after="20"/>
            </w:pPr>
            <w:r>
              <w:rPr>
                <w:rFonts w:ascii="游ゴシック" w:hAnsi="游ゴシック" w:eastAsia="游ゴシック"/>
                <w:b w:val="0"/>
                <w:i w:val="0"/>
                <w:sz w:val="17"/>
              </w:rPr>
              <w:t>―</w:t>
            </w:r>
          </w:p>
        </w:tc>
      </w:tr>
      <w:tr>
        <w:tc>
          <w:tcPr>
            <w:tcW w:type="dxa" w:w="4762"/>
            <w:vAlign w:val="center"/>
          </w:tcPr>
          <w:p>
            <w:pPr>
              <w:spacing w:before="20" w:after="20"/>
            </w:pPr>
            <w:r>
              <w:rPr>
                <w:rFonts w:ascii="游ゴシック" w:hAnsi="游ゴシック" w:eastAsia="游ゴシック"/>
                <w:b w:val="0"/>
                <w:i w:val="0"/>
                <w:sz w:val="17"/>
              </w:rPr>
              <w:t>住宅の継承に関する高齢者への説明会の開催や相談の実施</w:t>
            </w:r>
          </w:p>
        </w:tc>
        <w:tc>
          <w:tcPr>
            <w:tcW w:type="dxa" w:w="4989"/>
            <w:vAlign w:val="center"/>
          </w:tcPr>
          <w:p>
            <w:pPr>
              <w:spacing w:before="20" w:after="20"/>
            </w:pPr>
            <w:r>
              <w:rPr>
                <w:rFonts w:ascii="游ゴシック" w:hAnsi="游ゴシック" w:eastAsia="游ゴシック"/>
                <w:b w:val="0"/>
                <w:i w:val="0"/>
                <w:sz w:val="17"/>
              </w:rPr>
              <w:t>空き家対策と接する</w:t>
            </w:r>
          </w:p>
        </w:tc>
      </w:tr>
      <w:tr>
        <w:tc>
          <w:tcPr>
            <w:tcW w:type="dxa" w:w="4762"/>
            <w:vAlign w:val="center"/>
          </w:tcPr>
          <w:p>
            <w:pPr>
              <w:spacing w:before="20" w:after="20"/>
            </w:pPr>
            <w:r>
              <w:rPr>
                <w:rFonts w:ascii="游ゴシック" w:hAnsi="游ゴシック" w:eastAsia="游ゴシック"/>
                <w:b w:val="0"/>
                <w:i w:val="0"/>
                <w:sz w:val="17"/>
              </w:rPr>
              <w:t>高齢者への訪問診療や訪問介護に必要な医療機器等の整備の促進</w:t>
            </w:r>
          </w:p>
        </w:tc>
        <w:tc>
          <w:tcPr>
            <w:tcW w:type="dxa" w:w="4989"/>
            <w:vAlign w:val="center"/>
          </w:tcPr>
          <w:p>
            <w:pPr>
              <w:spacing w:before="20" w:after="20"/>
            </w:pPr>
            <w:r>
              <w:rPr>
                <w:rFonts w:ascii="游ゴシック" w:hAnsi="游ゴシック" w:eastAsia="游ゴシック"/>
                <w:b/>
                <w:i w:val="0"/>
                <w:sz w:val="17"/>
              </w:rPr>
              <w:t>第5章 基本目標2⑦</w:t>
            </w:r>
          </w:p>
        </w:tc>
      </w:tr>
      <w:tr>
        <w:tc>
          <w:tcPr>
            <w:tcW w:type="dxa" w:w="4762"/>
            <w:vAlign w:val="center"/>
          </w:tcPr>
          <w:p>
            <w:pPr>
              <w:spacing w:before="20" w:after="20"/>
            </w:pPr>
            <w:r>
              <w:rPr>
                <w:rFonts w:ascii="游ゴシック" w:hAnsi="游ゴシック" w:eastAsia="游ゴシック"/>
                <w:b/>
                <w:i w:val="0"/>
                <w:sz w:val="17"/>
              </w:rPr>
              <w:t>ＩＣＴを活用した病院、診療所、訪問看護ステーション、薬局、老人ホームの連携の推進</w:t>
            </w:r>
          </w:p>
        </w:tc>
        <w:tc>
          <w:tcPr>
            <w:tcW w:type="dxa" w:w="4989"/>
            <w:vAlign w:val="center"/>
          </w:tcPr>
          <w:p>
            <w:pPr>
              <w:spacing w:before="20" w:after="20"/>
            </w:pPr>
            <w:r>
              <w:rPr>
                <w:rFonts w:ascii="游ゴシック" w:hAnsi="游ゴシック" w:eastAsia="游ゴシック"/>
                <w:b/>
                <w:i w:val="0"/>
                <w:sz w:val="17"/>
              </w:rPr>
              <w:t>第5章 基本目標2⑦の4つの場面。本町は病院がなく診療所と訪問看護1か所</w:t>
            </w:r>
          </w:p>
        </w:tc>
      </w:tr>
      <w:tr>
        <w:tc>
          <w:tcPr>
            <w:tcW w:type="dxa" w:w="4762"/>
            <w:vAlign w:val="center"/>
          </w:tcPr>
          <w:p>
            <w:pPr>
              <w:spacing w:before="20" w:after="20"/>
            </w:pPr>
            <w:r>
              <w:rPr>
                <w:rFonts w:ascii="游ゴシック" w:hAnsi="游ゴシック" w:eastAsia="游ゴシック"/>
                <w:b w:val="0"/>
                <w:i w:val="0"/>
                <w:sz w:val="17"/>
              </w:rPr>
              <w:t>高齢者が住み慣れた地域で安心して生活できる見守り体制づくり</w:t>
            </w:r>
          </w:p>
        </w:tc>
        <w:tc>
          <w:tcPr>
            <w:tcW w:type="dxa" w:w="4989"/>
            <w:vAlign w:val="center"/>
          </w:tcPr>
          <w:p>
            <w:pPr>
              <w:spacing w:before="20" w:after="20"/>
            </w:pPr>
            <w:r>
              <w:rPr>
                <w:rFonts w:ascii="游ゴシック" w:hAnsi="游ゴシック" w:eastAsia="游ゴシック"/>
                <w:b w:val="0"/>
                <w:i w:val="0"/>
                <w:sz w:val="17"/>
              </w:rPr>
              <w:t>第3期地域福祉計画が主</w:t>
            </w:r>
          </w:p>
        </w:tc>
      </w:tr>
      <w:tr>
        <w:tc>
          <w:tcPr>
            <w:tcW w:type="dxa" w:w="4762"/>
            <w:vAlign w:val="center"/>
          </w:tcPr>
          <w:p>
            <w:pPr>
              <w:spacing w:before="20" w:after="20"/>
            </w:pPr>
            <w:r>
              <w:rPr>
                <w:rFonts w:ascii="游ゴシック" w:hAnsi="游ゴシック" w:eastAsia="游ゴシック"/>
                <w:b w:val="0"/>
                <w:i w:val="0"/>
                <w:sz w:val="17"/>
              </w:rPr>
              <w:t>高齢者が行う地域コミュニティづくりへの補助等</w:t>
            </w:r>
          </w:p>
        </w:tc>
        <w:tc>
          <w:tcPr>
            <w:tcW w:type="dxa" w:w="4989"/>
            <w:vAlign w:val="center"/>
          </w:tcPr>
          <w:p>
            <w:pPr>
              <w:spacing w:before="20" w:after="20"/>
            </w:pPr>
            <w:r>
              <w:rPr>
                <w:rFonts w:ascii="游ゴシック" w:hAnsi="游ゴシック" w:eastAsia="游ゴシック"/>
                <w:b w:val="0"/>
                <w:i w:val="0"/>
                <w:sz w:val="17"/>
              </w:rPr>
              <w:t>第5章 基本目標1②</w:t>
            </w:r>
          </w:p>
        </w:tc>
      </w:tr>
      <w:tr>
        <w:tc>
          <w:tcPr>
            <w:tcW w:type="dxa" w:w="4762"/>
            <w:vAlign w:val="center"/>
          </w:tcPr>
          <w:p>
            <w:pPr>
              <w:spacing w:before="20" w:after="20"/>
            </w:pPr>
            <w:r>
              <w:rPr>
                <w:rFonts w:ascii="游ゴシック" w:hAnsi="游ゴシック" w:eastAsia="游ゴシック"/>
                <w:b/>
                <w:i w:val="0"/>
                <w:sz w:val="17"/>
              </w:rPr>
              <w:t>ハザードマップ等を使用した高齢者への防災意識の啓発、災害リスクの周知</w:t>
            </w:r>
          </w:p>
        </w:tc>
        <w:tc>
          <w:tcPr>
            <w:tcW w:type="dxa" w:w="4989"/>
            <w:vAlign w:val="center"/>
          </w:tcPr>
          <w:p>
            <w:pPr>
              <w:spacing w:before="20" w:after="20"/>
            </w:pPr>
            <w:r>
              <w:rPr>
                <w:rFonts w:ascii="游ゴシック" w:hAnsi="游ゴシック" w:eastAsia="游ゴシック"/>
                <w:b/>
                <w:i w:val="0"/>
                <w:sz w:val="17"/>
              </w:rPr>
              <w:t>第5章 基本目標2④（災害）・小野町地域防災計画</w:t>
            </w:r>
          </w:p>
        </w:tc>
      </w:tr>
      <w:tr>
        <w:tc>
          <w:tcPr>
            <w:tcW w:type="dxa" w:w="4762"/>
            <w:vAlign w:val="center"/>
          </w:tcPr>
          <w:p>
            <w:pPr>
              <w:spacing w:before="20" w:after="20"/>
            </w:pPr>
            <w:r>
              <w:rPr>
                <w:rFonts w:ascii="游ゴシック" w:hAnsi="游ゴシック" w:eastAsia="游ゴシック"/>
                <w:b/>
                <w:i w:val="0"/>
                <w:sz w:val="17"/>
              </w:rPr>
              <w:t>高齢者の生活課題の解決や身体機能の改善を検討する自立支援型地域ケア会議の普及</w:t>
            </w:r>
          </w:p>
        </w:tc>
        <w:tc>
          <w:tcPr>
            <w:tcW w:type="dxa" w:w="4989"/>
            <w:vAlign w:val="center"/>
          </w:tcPr>
          <w:p>
            <w:pPr>
              <w:spacing w:before="20" w:after="20"/>
            </w:pPr>
            <w:r>
              <w:rPr>
                <w:rFonts w:ascii="游ゴシック" w:hAnsi="游ゴシック" w:eastAsia="游ゴシック"/>
                <w:b/>
                <w:i w:val="0"/>
                <w:sz w:val="17"/>
              </w:rPr>
              <w:t>本町は地域ケア会議推進事業を令和7年度767,416円で実施している</w:t>
            </w:r>
          </w:p>
        </w:tc>
      </w:tr>
      <w:tr>
        <w:tc>
          <w:tcPr>
            <w:tcW w:type="dxa" w:w="4762"/>
            <w:vAlign w:val="center"/>
          </w:tcPr>
          <w:p>
            <w:pPr>
              <w:spacing w:before="20" w:after="20"/>
            </w:pPr>
            <w:r>
              <w:rPr>
                <w:rFonts w:ascii="游ゴシック" w:hAnsi="游ゴシック" w:eastAsia="游ゴシック"/>
                <w:b w:val="0"/>
                <w:i w:val="0"/>
                <w:sz w:val="17"/>
              </w:rPr>
              <w:t>高齢者の住まいに関する相談先等の周知</w:t>
            </w:r>
          </w:p>
        </w:tc>
        <w:tc>
          <w:tcPr>
            <w:tcW w:type="dxa" w:w="4989"/>
            <w:vAlign w:val="center"/>
          </w:tcPr>
          <w:p>
            <w:pPr>
              <w:spacing w:before="20" w:after="20"/>
            </w:pPr>
            <w:r>
              <w:rPr>
                <w:rFonts w:ascii="游ゴシック" w:hAnsi="游ゴシック" w:eastAsia="游ゴシック"/>
                <w:b w:val="0"/>
                <w:i w:val="0"/>
                <w:sz w:val="17"/>
              </w:rPr>
              <w:t>第5章 基本目標3①</w:t>
            </w:r>
          </w:p>
        </w:tc>
      </w:tr>
    </w:tbl>
    <w:p>
      <w:pPr>
        <w:spacing w:after="40"/>
      </w:pPr>
    </w:p>
    <w:p>
      <w:pPr>
        <w:spacing w:before="40" w:after="160"/>
        <w:ind w:left="113"/>
      </w:pPr>
      <w:r>
        <w:rPr>
          <w:rFonts w:ascii="游ゴシック" w:hAnsi="游ゴシック" w:eastAsia="游ゴシック"/>
          <w:b w:val="0"/>
          <w:i w:val="0"/>
          <w:sz w:val="17"/>
        </w:rPr>
        <w:t>資料：福島県高齢者居住安定確保計画（令和4年3月・福島県土木部）Ⅳ 生活圏域毎施策 中通り（p28〜29）。</w:t>
      </w:r>
    </w:p>
    <w:p>
      <w:pPr>
        <w:pStyle w:val="Heading1"/>
        <w:keepNext/>
        <w:spacing w:before="240" w:after="100"/>
      </w:pPr>
      <w:bookmarkStart w:id="107" w:name="_Toc_007"/>
      <w:r>
        <w:rPr>
          <w:rFonts w:ascii="游ゴシック" w:hAnsi="游ゴシック" w:eastAsia="游ゴシック"/>
          <w:b/>
          <w:i w:val="0"/>
          <w:color w:val="2E74B5"/>
          <w:sz w:val="30"/>
        </w:rPr>
        <w:t>4　住宅セーフティネットと居住支援協議会</w:t>
      </w:r>
      <w:bookmarkEnd w:id="107"/>
    </w:p>
    <w:p>
      <w:pPr>
        <w:keepNext/>
        <w:spacing w:before="200" w:after="40"/>
      </w:pPr>
      <w:r>
        <w:rPr>
          <w:rFonts w:ascii="游ゴシック" w:hAnsi="游ゴシック" w:eastAsia="游ゴシック"/>
          <w:b/>
          <w:i w:val="0"/>
          <w:color w:val="1F4D78"/>
          <w:sz w:val="22"/>
        </w:rPr>
        <w:t>【表5】住宅セーフティネットに関する県の記述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県の課題</w:t>
            </w:r>
          </w:p>
        </w:tc>
        <w:tc>
          <w:tcPr>
            <w:tcW w:type="dxa" w:w="7824"/>
            <w:vAlign w:val="center"/>
          </w:tcPr>
          <w:p>
            <w:pPr>
              <w:spacing w:before="20" w:after="20"/>
            </w:pPr>
            <w:r>
              <w:rPr>
                <w:rFonts w:ascii="游ゴシック" w:hAnsi="游ゴシック" w:eastAsia="游ゴシック"/>
                <w:b w:val="0"/>
                <w:i w:val="0"/>
                <w:sz w:val="17"/>
              </w:rPr>
              <w:t>高齢者の民間賃貸住宅への円滑な入居や生活支援／</w:t>
            </w:r>
            <w:r>
              <w:rPr>
                <w:rFonts w:ascii="游ゴシック" w:hAnsi="游ゴシック" w:eastAsia="游ゴシック"/>
                <w:b/>
                <w:i w:val="0"/>
                <w:sz w:val="17"/>
              </w:rPr>
              <w:t>中山間部から都市部へ移住する際の住まいの確保</w:t>
            </w:r>
            <w:r>
              <w:rPr>
                <w:rFonts w:ascii="游ゴシック" w:hAnsi="游ゴシック" w:eastAsia="游ゴシック"/>
                <w:b w:val="0"/>
                <w:i w:val="0"/>
                <w:sz w:val="17"/>
              </w:rPr>
              <w:t>／住宅セーフティネット制度の更なる普及促進</w:t>
            </w:r>
          </w:p>
        </w:tc>
      </w:tr>
      <w:tr>
        <w:tc>
          <w:tcPr>
            <w:tcW w:type="dxa" w:w="1928"/>
            <w:vAlign w:val="center"/>
          </w:tcPr>
          <w:p>
            <w:pPr>
              <w:spacing w:before="20" w:after="20"/>
            </w:pPr>
            <w:r>
              <w:rPr>
                <w:rFonts w:ascii="游ゴシック" w:hAnsi="游ゴシック" w:eastAsia="游ゴシック"/>
                <w:b w:val="0"/>
                <w:i w:val="0"/>
                <w:sz w:val="17"/>
              </w:rPr>
              <w:t>県の具体的取組</w:t>
            </w:r>
          </w:p>
        </w:tc>
        <w:tc>
          <w:tcPr>
            <w:tcW w:type="dxa" w:w="7824"/>
            <w:vAlign w:val="center"/>
          </w:tcPr>
          <w:p>
            <w:pPr>
              <w:spacing w:before="20" w:after="20"/>
            </w:pPr>
            <w:r>
              <w:rPr>
                <w:rFonts w:ascii="游ゴシック" w:hAnsi="游ゴシック" w:eastAsia="游ゴシック"/>
                <w:b/>
                <w:i w:val="0"/>
                <w:sz w:val="17"/>
              </w:rPr>
              <w:t>市町村における住宅セーフティネット制度を活用した高齢者に対する家賃や家賃債務保証料補助、高齢者向け住宅への改修補助等の促進</w:t>
            </w:r>
            <w:r>
              <w:rPr>
                <w:rFonts w:ascii="游ゴシック" w:hAnsi="游ゴシック" w:eastAsia="游ゴシック"/>
                <w:b w:val="0"/>
                <w:i w:val="0"/>
                <w:sz w:val="17"/>
              </w:rPr>
              <w:t>／入居を拒否しない住宅の登録促進／居住支援法人による支援／</w:t>
            </w:r>
            <w:r>
              <w:rPr>
                <w:rFonts w:ascii="游ゴシック" w:hAnsi="游ゴシック" w:eastAsia="游ゴシック"/>
                <w:b/>
                <w:i w:val="0"/>
                <w:sz w:val="17"/>
              </w:rPr>
              <w:t>市町村居住支援協議会の設立支援</w:t>
            </w:r>
          </w:p>
        </w:tc>
      </w:tr>
      <w:tr>
        <w:tc>
          <w:tcPr>
            <w:tcW w:type="dxa" w:w="1928"/>
            <w:vAlign w:val="center"/>
          </w:tcPr>
          <w:p>
            <w:pPr>
              <w:keepNext/>
              <w:spacing w:before="20" w:after="20"/>
            </w:pPr>
            <w:r>
              <w:rPr>
                <w:rFonts w:ascii="游ゴシック" w:hAnsi="游ゴシック" w:eastAsia="游ゴシック"/>
                <w:b w:val="0"/>
                <w:i w:val="0"/>
                <w:sz w:val="17"/>
              </w:rPr>
              <w:t>期待する効果</w:t>
            </w:r>
          </w:p>
        </w:tc>
        <w:tc>
          <w:tcPr>
            <w:tcW w:type="dxa" w:w="7824"/>
            <w:vAlign w:val="center"/>
          </w:tcPr>
          <w:p>
            <w:pPr>
              <w:keepNext/>
              <w:spacing w:before="20" w:after="20"/>
            </w:pPr>
            <w:r>
              <w:rPr>
                <w:rFonts w:ascii="游ゴシック" w:hAnsi="游ゴシック" w:eastAsia="游ゴシック"/>
                <w:b/>
                <w:i w:val="0"/>
                <w:sz w:val="17"/>
              </w:rPr>
              <w:t>市町村居住支援協議会による高齢者への住まいに関する適切な相談体制の確立</w:t>
            </w:r>
          </w:p>
        </w:tc>
      </w:tr>
      <w:tr>
        <w:tc>
          <w:tcPr>
            <w:tcW w:type="dxa" w:w="1928"/>
            <w:vAlign w:val="center"/>
          </w:tcPr>
          <w:p>
            <w:pPr>
              <w:spacing w:before="20" w:after="20"/>
            </w:pPr>
            <w:r>
              <w:rPr>
                <w:rFonts w:ascii="游ゴシック" w:hAnsi="游ゴシック" w:eastAsia="游ゴシック"/>
                <w:b w:val="0"/>
                <w:i w:val="0"/>
                <w:sz w:val="17"/>
              </w:rPr>
              <w:t>本町への当たり</w:t>
            </w:r>
          </w:p>
        </w:tc>
        <w:tc>
          <w:tcPr>
            <w:tcW w:type="dxa" w:w="7824"/>
            <w:vAlign w:val="center"/>
          </w:tcPr>
          <w:p>
            <w:pPr>
              <w:spacing w:before="20" w:after="20"/>
            </w:pPr>
            <w:r>
              <w:rPr>
                <w:rFonts w:ascii="游ゴシック" w:hAnsi="游ゴシック" w:eastAsia="游ゴシック"/>
                <w:b/>
                <w:i w:val="0"/>
                <w:sz w:val="17"/>
              </w:rPr>
              <w:t>照会Ｄ-3（町に居住支援協議会があるか）が、県計画の具体的取組に対応していることが確かめられた。</w:t>
            </w:r>
            <w:r>
              <w:rPr>
                <w:rFonts w:ascii="游ゴシック" w:hAnsi="游ゴシック" w:eastAsia="游ゴシック"/>
                <w:b w:val="0"/>
                <w:i w:val="0"/>
                <w:sz w:val="17"/>
              </w:rPr>
              <w:t>あわせて改正介護保険法第115条の48第5項【新設】が、住宅セーフティネット法第81条第1項の支援協議会との連携を努力義務としている</w:t>
            </w:r>
          </w:p>
        </w:tc>
      </w:tr>
    </w:tbl>
    <w:p>
      <w:pPr>
        <w:spacing w:after="40"/>
      </w:pPr>
    </w:p>
    <w:p>
      <w:pPr>
        <w:pStyle w:val="Heading1"/>
        <w:keepNext/>
        <w:spacing w:before="240" w:after="100"/>
      </w:pPr>
      <w:bookmarkStart w:id="108" w:name="_Toc_008"/>
      <w:r>
        <w:rPr>
          <w:rFonts w:ascii="游ゴシック" w:hAnsi="游ゴシック" w:eastAsia="游ゴシック"/>
          <w:b/>
          <w:i w:val="0"/>
          <w:color w:val="2E74B5"/>
          <w:sz w:val="30"/>
        </w:rPr>
        <w:t>5　県の関連事業と本町の実績</w:t>
      </w:r>
      <w:bookmarkEnd w:id="108"/>
    </w:p>
    <w:p>
      <w:pPr>
        <w:spacing w:before="60" w:after="60"/>
      </w:pPr>
      <w:r>
        <w:rPr>
          <w:rFonts w:ascii="游ゴシック" w:hAnsi="游ゴシック" w:eastAsia="游ゴシック"/>
          <w:b/>
          <w:i w:val="0"/>
          <w:sz w:val="21"/>
        </w:rPr>
        <w:t>県計画の関連事業と、本町の決算・交付金の実績を突き合わせました。</w:t>
      </w:r>
    </w:p>
    <w:p>
      <w:pPr>
        <w:keepNext/>
        <w:spacing w:before="200" w:after="40"/>
      </w:pPr>
      <w:r>
        <w:rPr>
          <w:rFonts w:ascii="游ゴシック" w:hAnsi="游ゴシック" w:eastAsia="游ゴシック"/>
          <w:b/>
          <w:i w:val="0"/>
          <w:color w:val="1F4D78"/>
          <w:sz w:val="22"/>
        </w:rPr>
        <w:t>【表6】県の関連事業と本町の実績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628"/>
        <w:gridCol w:w="3855"/>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県の事業</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本町の実績</w:t>
            </w:r>
          </w:p>
        </w:tc>
        <w:tc>
          <w:tcPr>
            <w:tcW w:type="dxa" w:w="3855"/>
            <w:shd w:val="clear" w:fill="1F3864"/>
            <w:vAlign w:val="center"/>
          </w:tcPr>
          <w:p>
            <w:pPr>
              <w:spacing w:before="20" w:after="20"/>
              <w:jc w:val="center"/>
            </w:pPr>
            <w:r>
              <w:rPr>
                <w:rFonts w:ascii="游ゴシック" w:hAnsi="游ゴシック" w:eastAsia="游ゴシック"/>
                <w:b/>
                <w:i w:val="0"/>
                <w:color w:val="FFFFFF"/>
                <w:sz w:val="17"/>
              </w:rPr>
              <w:t>意味</w:t>
            </w:r>
          </w:p>
        </w:tc>
      </w:tr>
      <w:tr>
        <w:tc>
          <w:tcPr>
            <w:tcW w:type="dxa" w:w="2268"/>
            <w:vAlign w:val="center"/>
          </w:tcPr>
          <w:p>
            <w:pPr>
              <w:spacing w:before="20" w:after="20"/>
            </w:pPr>
            <w:r>
              <w:rPr>
                <w:rFonts w:ascii="游ゴシック" w:hAnsi="游ゴシック" w:eastAsia="游ゴシック"/>
                <w:b w:val="0"/>
                <w:i w:val="0"/>
                <w:sz w:val="17"/>
              </w:rPr>
              <w:t>地域包括ケアシステム深化・推進事業</w:t>
            </w:r>
          </w:p>
        </w:tc>
        <w:tc>
          <w:tcPr>
            <w:tcW w:type="dxa" w:w="3628"/>
            <w:vAlign w:val="center"/>
          </w:tcPr>
          <w:p>
            <w:pPr>
              <w:spacing w:before="20" w:after="20"/>
            </w:pPr>
            <w:r>
              <w:rPr>
                <w:rFonts w:ascii="游ゴシック" w:hAnsi="游ゴシック" w:eastAsia="游ゴシック"/>
                <w:b/>
                <w:i w:val="0"/>
                <w:sz w:val="17"/>
              </w:rPr>
              <w:t>本町の令和7年度決算（歳入）に「福島県地域包括ｹｱｼｽﾃﾑ深化・推進事業補助金 444,000円」がある</w:t>
            </w:r>
          </w:p>
        </w:tc>
        <w:tc>
          <w:tcPr>
            <w:tcW w:type="dxa" w:w="3855"/>
            <w:vAlign w:val="center"/>
          </w:tcPr>
          <w:p>
            <w:pPr>
              <w:spacing w:before="20" w:after="20"/>
            </w:pPr>
            <w:r>
              <w:rPr>
                <w:rFonts w:ascii="游ゴシック" w:hAnsi="游ゴシック" w:eastAsia="游ゴシック"/>
                <w:b/>
                <w:i w:val="0"/>
                <w:sz w:val="17"/>
              </w:rPr>
              <w:t>県計画の「共通 地域包括ケアシステムの深化・推進」の関連事業。</w:t>
            </w:r>
            <w:r>
              <w:rPr>
                <w:rFonts w:ascii="游ゴシック" w:hAnsi="游ゴシック" w:eastAsia="游ゴシック"/>
                <w:b w:val="0"/>
                <w:i w:val="0"/>
                <w:sz w:val="17"/>
              </w:rPr>
              <w:t>本町は既に使っている</w:t>
            </w:r>
          </w:p>
        </w:tc>
      </w:tr>
      <w:tr>
        <w:tc>
          <w:tcPr>
            <w:tcW w:type="dxa" w:w="2268"/>
            <w:vAlign w:val="center"/>
          </w:tcPr>
          <w:p>
            <w:pPr>
              <w:keepNext/>
              <w:spacing w:before="20" w:after="20"/>
            </w:pPr>
            <w:r>
              <w:rPr>
                <w:rFonts w:ascii="游ゴシック" w:hAnsi="游ゴシック" w:eastAsia="游ゴシック"/>
                <w:b w:val="0"/>
                <w:i w:val="0"/>
                <w:sz w:val="17"/>
              </w:rPr>
              <w:t>自立支援型地域ケア会議普及展開事業</w:t>
            </w:r>
          </w:p>
        </w:tc>
        <w:tc>
          <w:tcPr>
            <w:tcW w:type="dxa" w:w="3628"/>
            <w:vAlign w:val="center"/>
          </w:tcPr>
          <w:p>
            <w:pPr>
              <w:keepNext/>
              <w:spacing w:before="20" w:after="20"/>
            </w:pPr>
            <w:r>
              <w:rPr>
                <w:rFonts w:ascii="游ゴシック" w:hAnsi="游ゴシック" w:eastAsia="游ゴシック"/>
                <w:b w:val="0"/>
                <w:i w:val="0"/>
                <w:sz w:val="17"/>
              </w:rPr>
              <w:t>本町の地域ケア会議推進事業は令和7年度767,416円（地域支援事業交付金実績報告）</w:t>
            </w:r>
          </w:p>
        </w:tc>
        <w:tc>
          <w:tcPr>
            <w:tcW w:type="dxa" w:w="3855"/>
            <w:vAlign w:val="center"/>
          </w:tcPr>
          <w:p>
            <w:pPr>
              <w:keepNext/>
              <w:spacing w:before="20" w:after="20"/>
            </w:pPr>
            <w:r>
              <w:rPr>
                <w:rFonts w:ascii="游ゴシック" w:hAnsi="游ゴシック" w:eastAsia="游ゴシック"/>
                <w:b w:val="0"/>
                <w:i w:val="0"/>
                <w:sz w:val="17"/>
              </w:rPr>
              <w:t>県計画の具体的取組「自立支援型地域ケア会議の普及」に当たる</w:t>
            </w:r>
          </w:p>
        </w:tc>
      </w:tr>
      <w:tr>
        <w:tc>
          <w:tcPr>
            <w:tcW w:type="dxa" w:w="2268"/>
            <w:vAlign w:val="center"/>
          </w:tcPr>
          <w:p>
            <w:pPr>
              <w:spacing w:before="20" w:after="20"/>
            </w:pPr>
            <w:r>
              <w:rPr>
                <w:rFonts w:ascii="游ゴシック" w:hAnsi="游ゴシック" w:eastAsia="游ゴシック"/>
                <w:b w:val="0"/>
                <w:i w:val="0"/>
                <w:sz w:val="17"/>
              </w:rPr>
              <w:t>介護支援専門員従事者確保事業</w:t>
            </w:r>
          </w:p>
        </w:tc>
        <w:tc>
          <w:tcPr>
            <w:tcW w:type="dxa" w:w="3628"/>
            <w:vAlign w:val="center"/>
          </w:tcPr>
          <w:p>
            <w:pPr>
              <w:spacing w:before="20" w:after="20"/>
            </w:pPr>
            <w:r>
              <w:rPr>
                <w:rFonts w:ascii="游ゴシック" w:hAnsi="游ゴシック" w:eastAsia="游ゴシック"/>
                <w:b/>
                <w:i w:val="0"/>
                <w:sz w:val="17"/>
              </w:rPr>
              <w:t>本町の居宅介護支援事業所は5か所から3か所へ減っている</w:t>
            </w:r>
          </w:p>
        </w:tc>
        <w:tc>
          <w:tcPr>
            <w:tcW w:type="dxa" w:w="3855"/>
            <w:vAlign w:val="center"/>
          </w:tcPr>
          <w:p>
            <w:pPr>
              <w:spacing w:before="20" w:after="20"/>
            </w:pPr>
            <w:r>
              <w:rPr>
                <w:rFonts w:ascii="游ゴシック" w:hAnsi="游ゴシック" w:eastAsia="游ゴシック"/>
                <w:b/>
                <w:i w:val="0"/>
                <w:sz w:val="17"/>
              </w:rPr>
              <w:t>第6章11の「担い手」に接続できる。</w:t>
            </w:r>
            <w:r>
              <w:rPr>
                <w:rFonts w:ascii="游ゴシック" w:hAnsi="游ゴシック" w:eastAsia="游ゴシック"/>
                <w:b w:val="0"/>
                <w:i w:val="0"/>
                <w:sz w:val="17"/>
              </w:rPr>
              <w:t xml:space="preserve"> 県の事業の活用を書ける</w:t>
            </w:r>
          </w:p>
        </w:tc>
      </w:tr>
    </w:tbl>
    <w:p>
      <w:pPr>
        <w:spacing w:after="40"/>
      </w:pPr>
    </w:p>
    <w:p>
      <w:pPr>
        <w:spacing w:before="60" w:after="60"/>
      </w:pPr>
      <w:r>
        <w:rPr>
          <w:rFonts w:ascii="游ゴシック" w:hAnsi="游ゴシック" w:eastAsia="游ゴシック"/>
          <w:b/>
          <w:i w:val="0"/>
          <w:sz w:val="21"/>
        </w:rPr>
        <w:t>本町は既に県の事業を使っています。</w:t>
      </w:r>
      <w:r>
        <w:rPr>
          <w:rFonts w:ascii="游ゴシック" w:hAnsi="游ゴシック" w:eastAsia="游ゴシック"/>
          <w:b w:val="0"/>
          <w:i w:val="0"/>
          <w:sz w:val="21"/>
        </w:rPr>
        <w:t xml:space="preserve"> 令和7年度の歳入に福島県地域包括ケアシステム深化・推進事業補助金444,000円があり、これは県計画の「共通 地域包括ケアシステムの深化・推進」の関連事業です。</w:t>
      </w:r>
      <w:r>
        <w:rPr>
          <w:rFonts w:ascii="游ゴシック" w:hAnsi="游ゴシック" w:eastAsia="游ゴシック"/>
          <w:b/>
          <w:i w:val="0"/>
          <w:sz w:val="21"/>
        </w:rPr>
        <w:t>本計画でこの接続を明示できます。</w:t>
      </w:r>
    </w:p>
    <w:p>
      <w:pPr>
        <w:pStyle w:val="Heading1"/>
        <w:keepNext/>
        <w:spacing w:before="240" w:after="100"/>
      </w:pPr>
      <w:bookmarkStart w:id="109" w:name="_Toc_009"/>
      <w:r>
        <w:rPr>
          <w:rFonts w:ascii="游ゴシック" w:hAnsi="游ゴシック" w:eastAsia="游ゴシック"/>
          <w:b/>
          <w:i w:val="0"/>
          <w:color w:val="2E74B5"/>
          <w:sz w:val="30"/>
        </w:rPr>
        <w:t>6　そのまま引けないこと（4件）</w:t>
      </w:r>
      <w:bookmarkEnd w:id="109"/>
    </w:p>
    <w:p>
      <w:pPr>
        <w:pStyle w:val="Heading3"/>
        <w:keepNext/>
        <w:spacing w:before="180" w:after="80"/>
      </w:pPr>
      <w:r>
        <w:rPr>
          <w:rFonts w:ascii="游ゴシック" w:hAnsi="游ゴシック" w:eastAsia="游ゴシック"/>
          <w:b/>
          <w:i w:val="0"/>
          <w:color w:val="1F4D78"/>
          <w:sz w:val="22"/>
        </w:rPr>
        <w:t>計画期間が本計画の前に満了する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keepNext/>
              <w:spacing w:before="20" w:after="20"/>
            </w:pPr>
            <w:r>
              <w:rPr>
                <w:rFonts w:ascii="游ゴシック" w:hAnsi="游ゴシック" w:eastAsia="游ゴシック"/>
                <w:b w:val="0"/>
                <w:i w:val="0"/>
                <w:sz w:val="17"/>
              </w:rPr>
              <w:t>確かめたこと</w:t>
            </w:r>
          </w:p>
        </w:tc>
        <w:tc>
          <w:tcPr>
            <w:tcW w:type="dxa" w:w="7824"/>
            <w:vAlign w:val="center"/>
          </w:tcPr>
          <w:p>
            <w:pPr>
              <w:keepNext/>
              <w:spacing w:before="20" w:after="20"/>
            </w:pPr>
            <w:r>
              <w:rPr>
                <w:rFonts w:ascii="游ゴシック" w:hAnsi="游ゴシック" w:eastAsia="游ゴシック"/>
                <w:b w:val="0"/>
                <w:i w:val="0"/>
                <w:sz w:val="17"/>
              </w:rPr>
              <w:t>令和4年度〜令和8年度。</w:t>
            </w:r>
            <w:r>
              <w:rPr>
                <w:rFonts w:ascii="游ゴシック" w:hAnsi="游ゴシック" w:eastAsia="游ゴシック"/>
                <w:b/>
                <w:i w:val="0"/>
                <w:sz w:val="17"/>
              </w:rPr>
              <w:t>本計画期間（令和9〜11年度）の初日には現行計画が存在しない</w:t>
            </w:r>
          </w:p>
        </w:tc>
      </w:tr>
      <w:tr>
        <w:tc>
          <w:tcPr>
            <w:tcW w:type="dxa" w:w="1928"/>
            <w:vAlign w:val="center"/>
          </w:tcPr>
          <w:p>
            <w:pPr>
              <w:spacing w:before="20" w:after="20"/>
            </w:pPr>
            <w:r>
              <w:rPr>
                <w:rFonts w:ascii="游ゴシック" w:hAnsi="游ゴシック" w:eastAsia="游ゴシック"/>
                <w:b/>
                <w:i w:val="0"/>
                <w:sz w:val="17"/>
              </w:rPr>
              <w:t>どうするか</w:t>
            </w:r>
          </w:p>
        </w:tc>
        <w:tc>
          <w:tcPr>
            <w:tcW w:type="dxa" w:w="7824"/>
            <w:vAlign w:val="center"/>
          </w:tcPr>
          <w:p>
            <w:pPr>
              <w:spacing w:before="20" w:after="20"/>
            </w:pPr>
            <w:r>
              <w:rPr>
                <w:rFonts w:ascii="游ゴシック" w:hAnsi="游ゴシック" w:eastAsia="游ゴシック"/>
                <w:b/>
                <w:i w:val="0"/>
                <w:sz w:val="17"/>
              </w:rPr>
              <w:t>「令和4年3月策定の計画による」と書き切らない。</w:t>
            </w:r>
            <w:r>
              <w:rPr>
                <w:rFonts w:ascii="游ゴシック" w:hAnsi="游ゴシック" w:eastAsia="游ゴシック"/>
                <w:b w:val="0"/>
                <w:i w:val="0"/>
                <w:sz w:val="17"/>
              </w:rPr>
              <w:t>改定の有無を確かめ、改定されるなら改定後の内容に差し替える。</w:t>
            </w:r>
            <w:r>
              <w:rPr>
                <w:rFonts w:ascii="游ゴシック" w:hAnsi="游ゴシック" w:eastAsia="游ゴシック"/>
                <w:b/>
                <w:i w:val="0"/>
                <w:sz w:val="17"/>
              </w:rPr>
              <w:t>改定が間に合わない場合は、現行計画によることを明示して書く</w:t>
            </w:r>
          </w:p>
        </w:tc>
      </w:tr>
    </w:tbl>
    <w:p>
      <w:pPr>
        <w:spacing w:after="40"/>
      </w:pPr>
    </w:p>
    <w:p>
      <w:pPr>
        <w:pStyle w:val="Heading3"/>
        <w:keepNext/>
        <w:spacing w:before="180" w:after="80"/>
      </w:pPr>
      <w:r>
        <w:rPr>
          <w:rFonts w:ascii="游ゴシック" w:hAnsi="游ゴシック" w:eastAsia="游ゴシック"/>
          <w:b/>
          <w:i w:val="0"/>
          <w:color w:val="1F4D78"/>
          <w:sz w:val="22"/>
        </w:rPr>
        <w:t>上位計画が既に次期に移っている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keepNext/>
              <w:spacing w:before="20" w:after="20"/>
            </w:pPr>
            <w:r>
              <w:rPr>
                <w:rFonts w:ascii="游ゴシック" w:hAnsi="游ゴシック" w:eastAsia="游ゴシック"/>
                <w:b w:val="0"/>
                <w:i w:val="0"/>
                <w:sz w:val="17"/>
              </w:rPr>
              <w:t>確かめたこと</w:t>
            </w:r>
          </w:p>
        </w:tc>
        <w:tc>
          <w:tcPr>
            <w:tcW w:type="dxa" w:w="7824"/>
            <w:vAlign w:val="center"/>
          </w:tcPr>
          <w:p>
            <w:pPr>
              <w:keepNext/>
              <w:spacing w:before="20" w:after="20"/>
            </w:pPr>
            <w:r>
              <w:rPr>
                <w:rFonts w:ascii="游ゴシック" w:hAnsi="游ゴシック" w:eastAsia="游ゴシック"/>
                <w:b w:val="0"/>
                <w:i w:val="0"/>
                <w:sz w:val="17"/>
              </w:rPr>
              <w:t>施策別計画の上位は</w:t>
            </w:r>
            <w:r>
              <w:rPr>
                <w:rFonts w:ascii="游ゴシック" w:hAnsi="游ゴシック" w:eastAsia="游ゴシック"/>
                <w:b/>
                <w:i w:val="0"/>
                <w:sz w:val="17"/>
              </w:rPr>
              <w:t>ふくしま高齢者いきいきプラン2021（令和3〜5年度）</w:t>
            </w:r>
            <w:r>
              <w:rPr>
                <w:rFonts w:ascii="游ゴシック" w:hAnsi="游ゴシック" w:eastAsia="游ゴシック"/>
                <w:b w:val="0"/>
                <w:i w:val="0"/>
                <w:sz w:val="17"/>
              </w:rPr>
              <w:t>。県は既に次期（第10次・第9次）に移っており、第10期（令和9〜11年度）はさらにその次になる</w:t>
            </w:r>
          </w:p>
        </w:tc>
      </w:tr>
      <w:tr>
        <w:tc>
          <w:tcPr>
            <w:tcW w:type="dxa" w:w="1928"/>
            <w:vAlign w:val="center"/>
          </w:tcPr>
          <w:p>
            <w:pPr>
              <w:spacing w:before="20" w:after="20"/>
            </w:pPr>
            <w:r>
              <w:rPr>
                <w:rFonts w:ascii="游ゴシック" w:hAnsi="游ゴシック" w:eastAsia="游ゴシック"/>
                <w:b/>
                <w:i w:val="0"/>
                <w:sz w:val="17"/>
              </w:rPr>
              <w:t>どうするか</w:t>
            </w:r>
          </w:p>
        </w:tc>
        <w:tc>
          <w:tcPr>
            <w:tcW w:type="dxa" w:w="7824"/>
            <w:vAlign w:val="center"/>
          </w:tcPr>
          <w:p>
            <w:pPr>
              <w:spacing w:before="20" w:after="20"/>
            </w:pPr>
            <w:r>
              <w:rPr>
                <w:rFonts w:ascii="游ゴシック" w:hAnsi="游ゴシック" w:eastAsia="游ゴシック"/>
                <w:b/>
                <w:i w:val="0"/>
                <w:sz w:val="17"/>
              </w:rPr>
              <w:t>県の高齢者福祉計画・介護保険事業支援計画の改定と本計画の改定は連動する。</w:t>
            </w:r>
            <w:r>
              <w:rPr>
                <w:rFonts w:ascii="游ゴシック" w:hAnsi="游ゴシック" w:eastAsia="游ゴシック"/>
                <w:b w:val="0"/>
                <w:i w:val="0"/>
                <w:sz w:val="17"/>
              </w:rPr>
              <w:t xml:space="preserve"> 県に時期を確かめる</w:t>
            </w:r>
          </w:p>
        </w:tc>
      </w:tr>
    </w:tbl>
    <w:p>
      <w:pPr>
        <w:spacing w:after="40"/>
      </w:pPr>
    </w:p>
    <w:p>
      <w:pPr>
        <w:pStyle w:val="Heading3"/>
        <w:keepNext/>
        <w:spacing w:before="180" w:after="80"/>
      </w:pPr>
      <w:r>
        <w:rPr>
          <w:rFonts w:ascii="游ゴシック" w:hAnsi="游ゴシック" w:eastAsia="游ゴシック"/>
          <w:b/>
          <w:i w:val="0"/>
          <w:color w:val="1F4D78"/>
          <w:sz w:val="22"/>
        </w:rPr>
        <w:t>中通りの地域特性は圏域全体の平均像である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keepNext/>
              <w:spacing w:before="20" w:after="20"/>
            </w:pPr>
            <w:r>
              <w:rPr>
                <w:rFonts w:ascii="游ゴシック" w:hAnsi="游ゴシック" w:eastAsia="游ゴシック"/>
                <w:b w:val="0"/>
                <w:i w:val="0"/>
                <w:sz w:val="17"/>
              </w:rPr>
              <w:t>確かめたこと</w:t>
            </w:r>
          </w:p>
        </w:tc>
        <w:tc>
          <w:tcPr>
            <w:tcW w:type="dxa" w:w="7824"/>
            <w:vAlign w:val="center"/>
          </w:tcPr>
          <w:p>
            <w:pPr>
              <w:keepNext/>
              <w:spacing w:before="20" w:after="20"/>
            </w:pPr>
            <w:r>
              <w:rPr>
                <w:rFonts w:ascii="游ゴシック" w:hAnsi="游ゴシック" w:eastAsia="游ゴシック"/>
                <w:b w:val="0"/>
                <w:i w:val="0"/>
                <w:sz w:val="17"/>
              </w:rPr>
              <w:t>県計画は中通りについて「高齢化率、高齢単身世帯及び高齢夫婦世帯の割合とも、</w:t>
            </w:r>
            <w:r>
              <w:rPr>
                <w:rFonts w:ascii="游ゴシック" w:hAnsi="游ゴシック" w:eastAsia="游ゴシック"/>
                <w:b/>
                <w:i w:val="0"/>
                <w:sz w:val="17"/>
              </w:rPr>
              <w:t>他の地域と比べ高くない</w:t>
            </w:r>
            <w:r>
              <w:rPr>
                <w:rFonts w:ascii="游ゴシック" w:hAnsi="游ゴシック" w:eastAsia="游ゴシック"/>
                <w:b w:val="0"/>
                <w:i w:val="0"/>
                <w:sz w:val="17"/>
              </w:rPr>
              <w:t>」としている。一方、</w:t>
            </w:r>
            <w:r>
              <w:rPr>
                <w:rFonts w:ascii="游ゴシック" w:hAnsi="游ゴシック" w:eastAsia="游ゴシック"/>
                <w:b/>
                <w:i w:val="0"/>
                <w:sz w:val="17"/>
              </w:rPr>
              <w:t>本町の高齢化率は令和8年で41.1％</w:t>
            </w:r>
            <w:r>
              <w:rPr>
                <w:rFonts w:ascii="游ゴシック" w:hAnsi="游ゴシック" w:eastAsia="游ゴシック"/>
                <w:b w:val="0"/>
                <w:i w:val="0"/>
                <w:sz w:val="17"/>
              </w:rPr>
              <w:t>である</w:t>
            </w:r>
          </w:p>
        </w:tc>
      </w:tr>
      <w:tr>
        <w:tc>
          <w:tcPr>
            <w:tcW w:type="dxa" w:w="1928"/>
            <w:vAlign w:val="center"/>
          </w:tcPr>
          <w:p>
            <w:pPr>
              <w:spacing w:before="20" w:after="20"/>
            </w:pPr>
            <w:r>
              <w:rPr>
                <w:rFonts w:ascii="游ゴシック" w:hAnsi="游ゴシック" w:eastAsia="游ゴシック"/>
                <w:b/>
                <w:i w:val="0"/>
                <w:sz w:val="17"/>
              </w:rPr>
              <w:t>どうするか</w:t>
            </w:r>
          </w:p>
        </w:tc>
        <w:tc>
          <w:tcPr>
            <w:tcW w:type="dxa" w:w="7824"/>
            <w:vAlign w:val="center"/>
          </w:tcPr>
          <w:p>
            <w:pPr>
              <w:spacing w:before="20" w:after="20"/>
            </w:pPr>
            <w:r>
              <w:rPr>
                <w:rFonts w:ascii="游ゴシック" w:hAnsi="游ゴシック" w:eastAsia="游ゴシック"/>
                <w:b/>
                <w:i w:val="0"/>
                <w:sz w:val="17"/>
              </w:rPr>
              <w:t>中通りの地域特性の記述をそのまま本町に当てない。</w:t>
            </w:r>
            <w:r>
              <w:rPr>
                <w:rFonts w:ascii="游ゴシック" w:hAnsi="游ゴシック" w:eastAsia="游ゴシック"/>
                <w:b w:val="0"/>
                <w:i w:val="0"/>
                <w:sz w:val="17"/>
              </w:rPr>
              <w:t>課題・対策・具体的取組は当てはまるものを選んで引く</w:t>
            </w:r>
          </w:p>
        </w:tc>
      </w:tr>
    </w:tbl>
    <w:p>
      <w:pPr>
        <w:spacing w:after="40"/>
      </w:pPr>
    </w:p>
    <w:p>
      <w:pPr>
        <w:pStyle w:val="Heading3"/>
        <w:keepNext/>
        <w:spacing w:before="180" w:after="80"/>
      </w:pPr>
      <w:r>
        <w:rPr>
          <w:rFonts w:ascii="游ゴシック" w:hAnsi="游ゴシック" w:eastAsia="游ゴシック"/>
          <w:b/>
          <w:i w:val="0"/>
          <w:color w:val="1F4D78"/>
          <w:sz w:val="22"/>
        </w:rPr>
        <w:t>市町村高齢者居住安定確保計画への言及が見当たらない</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keepNext/>
              <w:spacing w:before="20" w:after="20"/>
            </w:pPr>
            <w:r>
              <w:rPr>
                <w:rFonts w:ascii="游ゴシック" w:hAnsi="游ゴシック" w:eastAsia="游ゴシック"/>
                <w:b w:val="0"/>
                <w:i w:val="0"/>
                <w:sz w:val="17"/>
              </w:rPr>
              <w:t>確かめたこと</w:t>
            </w:r>
          </w:p>
        </w:tc>
        <w:tc>
          <w:tcPr>
            <w:tcW w:type="dxa" w:w="7824"/>
            <w:vAlign w:val="center"/>
          </w:tcPr>
          <w:p>
            <w:pPr>
              <w:keepNext/>
              <w:spacing w:before="20" w:after="20"/>
            </w:pPr>
            <w:r>
              <w:rPr>
                <w:rFonts w:ascii="游ゴシック" w:hAnsi="游ゴシック" w:eastAsia="游ゴシック"/>
                <w:b w:val="0"/>
                <w:i w:val="0"/>
                <w:sz w:val="17"/>
              </w:rPr>
              <w:t>県計画の本文に、市町村が同種の計画を定めることへの言及を確認できなかった</w:t>
            </w:r>
          </w:p>
        </w:tc>
      </w:tr>
      <w:tr>
        <w:tc>
          <w:tcPr>
            <w:tcW w:type="dxa" w:w="1928"/>
            <w:vAlign w:val="center"/>
          </w:tcPr>
          <w:p>
            <w:pPr>
              <w:spacing w:before="20" w:after="20"/>
            </w:pPr>
            <w:r>
              <w:rPr>
                <w:rFonts w:ascii="游ゴシック" w:hAnsi="游ゴシック" w:eastAsia="游ゴシック"/>
                <w:b/>
                <w:i w:val="0"/>
                <w:sz w:val="17"/>
              </w:rPr>
              <w:t>どうするか</w:t>
            </w:r>
          </w:p>
        </w:tc>
        <w:tc>
          <w:tcPr>
            <w:tcW w:type="dxa" w:w="7824"/>
            <w:vAlign w:val="center"/>
          </w:tcPr>
          <w:p>
            <w:pPr>
              <w:spacing w:before="20" w:after="20"/>
            </w:pPr>
            <w:r>
              <w:rPr>
                <w:rFonts w:ascii="游ゴシック" w:hAnsi="游ゴシック" w:eastAsia="游ゴシック"/>
                <w:b/>
                <w:i w:val="0"/>
                <w:sz w:val="17"/>
              </w:rPr>
              <w:t>照会Ｄ-1（町が市町村高齢者居住安定確保計画を定めているか）は引き続き町に確かめる。</w:t>
            </w:r>
            <w:r>
              <w:rPr>
                <w:rFonts w:ascii="游ゴシック" w:hAnsi="游ゴシック" w:eastAsia="游ゴシック"/>
                <w:b w:val="0"/>
                <w:i w:val="0"/>
                <w:sz w:val="17"/>
              </w:rPr>
              <w:t xml:space="preserve"> 県計画からは分からない</w:t>
            </w:r>
          </w:p>
        </w:tc>
      </w:tr>
    </w:tbl>
    <w:p>
      <w:pPr>
        <w:spacing w:after="40"/>
      </w:pPr>
    </w:p>
    <w:p>
      <w:pPr>
        <w:pStyle w:val="Heading1"/>
        <w:keepNext/>
        <w:spacing w:before="240" w:after="100"/>
      </w:pPr>
      <w:bookmarkStart w:id="110" w:name="_Toc_010"/>
      <w:r>
        <w:rPr>
          <w:rFonts w:ascii="游ゴシック" w:hAnsi="游ゴシック" w:eastAsia="游ゴシック"/>
          <w:b/>
          <w:i w:val="0"/>
          <w:color w:val="2E74B5"/>
          <w:sz w:val="30"/>
        </w:rPr>
        <w:t>7　素案への反映</w:t>
      </w:r>
      <w:bookmarkEnd w:id="110"/>
    </w:p>
    <w:p>
      <w:pPr>
        <w:keepNext/>
        <w:spacing w:before="200" w:after="40"/>
      </w:pPr>
      <w:r>
        <w:rPr>
          <w:rFonts w:ascii="游ゴシック" w:hAnsi="游ゴシック" w:eastAsia="游ゴシック"/>
          <w:b/>
          <w:i w:val="0"/>
          <w:color w:val="1F4D78"/>
          <w:sz w:val="22"/>
        </w:rPr>
        <w:t>【表7】素案への反映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6350"/>
        <w:gridCol w:w="1134"/>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6350"/>
            <w:shd w:val="clear" w:fill="1F3864"/>
            <w:vAlign w:val="center"/>
          </w:tcPr>
          <w:p>
            <w:pPr>
              <w:spacing w:before="20" w:after="20"/>
              <w:jc w:val="center"/>
            </w:pPr>
            <w:r>
              <w:rPr>
                <w:rFonts w:ascii="游ゴシック" w:hAnsi="游ゴシック" w:eastAsia="游ゴシック"/>
                <w:b/>
                <w:i w:val="0"/>
                <w:color w:val="FFFFFF"/>
                <w:sz w:val="17"/>
              </w:rPr>
              <w:t>どう直すか</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時期</w:t>
            </w:r>
          </w:p>
        </w:tc>
      </w:tr>
      <w:tr>
        <w:tc>
          <w:tcPr>
            <w:tcW w:type="dxa" w:w="2268"/>
            <w:vAlign w:val="center"/>
          </w:tcPr>
          <w:p>
            <w:pPr>
              <w:spacing w:before="20" w:after="20"/>
            </w:pPr>
            <w:r>
              <w:rPr>
                <w:rFonts w:ascii="游ゴシック" w:hAnsi="游ゴシック" w:eastAsia="游ゴシック"/>
                <w:b/>
                <w:i w:val="0"/>
                <w:sz w:val="17"/>
              </w:rPr>
              <w:t>第1章3　関連計画との役割分担</w:t>
            </w:r>
          </w:p>
        </w:tc>
        <w:tc>
          <w:tcPr>
            <w:tcW w:type="dxa" w:w="6350"/>
            <w:vAlign w:val="center"/>
          </w:tcPr>
          <w:p>
            <w:pPr>
              <w:spacing w:before="20" w:after="20"/>
            </w:pPr>
            <w:r>
              <w:rPr>
                <w:rFonts w:ascii="游ゴシック" w:hAnsi="游ゴシック" w:eastAsia="游ゴシック"/>
                <w:b/>
                <w:i w:val="0"/>
                <w:sz w:val="17"/>
              </w:rPr>
              <w:t>福島県高齢者居住安定確保計画を表に加える。</w:t>
            </w:r>
            <w:r>
              <w:rPr>
                <w:rFonts w:ascii="游ゴシック" w:hAnsi="游ゴシック" w:eastAsia="游ゴシック"/>
                <w:b w:val="0"/>
                <w:i w:val="0"/>
                <w:sz w:val="17"/>
              </w:rPr>
              <w:t>あわせて上位計画である福島県住生活基本計画も加える。</w:t>
            </w:r>
            <w:r>
              <w:rPr>
                <w:rFonts w:ascii="游ゴシック" w:hAnsi="游ゴシック" w:eastAsia="游ゴシック"/>
                <w:b/>
                <w:i w:val="0"/>
                <w:sz w:val="17"/>
              </w:rPr>
              <w:t>計画期間が令和8年度までであること、改定の見込みがあることを注記する</w:t>
            </w:r>
          </w:p>
        </w:tc>
        <w:tc>
          <w:tcPr>
            <w:tcW w:type="dxa" w:w="1134"/>
            <w:vAlign w:val="center"/>
          </w:tcPr>
          <w:p>
            <w:pPr>
              <w:spacing w:before="20" w:after="20"/>
            </w:pPr>
            <w:r>
              <w:rPr>
                <w:rFonts w:ascii="游ゴシック" w:hAnsi="游ゴシック" w:eastAsia="游ゴシック"/>
                <w:b/>
                <w:i w:val="0"/>
                <w:sz w:val="17"/>
              </w:rPr>
              <w:t>直ちに</w:t>
            </w:r>
          </w:p>
        </w:tc>
      </w:tr>
      <w:tr>
        <w:tc>
          <w:tcPr>
            <w:tcW w:type="dxa" w:w="2268"/>
            <w:vAlign w:val="center"/>
          </w:tcPr>
          <w:p>
            <w:pPr>
              <w:spacing w:before="20" w:after="20"/>
            </w:pPr>
            <w:r>
              <w:rPr>
                <w:rFonts w:ascii="游ゴシック" w:hAnsi="游ゴシック" w:eastAsia="游ゴシック"/>
                <w:b w:val="0"/>
                <w:i w:val="0"/>
                <w:sz w:val="17"/>
              </w:rPr>
              <w:t>第2章5　サービス提供体制の状況</w:t>
            </w:r>
          </w:p>
        </w:tc>
        <w:tc>
          <w:tcPr>
            <w:tcW w:type="dxa" w:w="6350"/>
            <w:vAlign w:val="center"/>
          </w:tcPr>
          <w:p>
            <w:pPr>
              <w:spacing w:before="20" w:after="20"/>
            </w:pPr>
            <w:r>
              <w:rPr>
                <w:rFonts w:ascii="游ゴシック" w:hAnsi="游ゴシック" w:eastAsia="游ゴシック"/>
                <w:b/>
                <w:i w:val="0"/>
                <w:sz w:val="17"/>
              </w:rPr>
              <w:t>住まいの定員の表に、県計画の【基本事項】②「各々の住まいの役割に応じた必要量の把握と供給量の調整」を添える。</w:t>
            </w:r>
            <w:r>
              <w:rPr>
                <w:rFonts w:ascii="游ゴシック" w:hAnsi="游ゴシック" w:eastAsia="游ゴシック"/>
                <w:b w:val="0"/>
                <w:i w:val="0"/>
                <w:sz w:val="17"/>
              </w:rPr>
              <w:t>法の勘案義務（第117条第5項第1号）と県計画が同じ方向を向いていることを示す</w:t>
            </w:r>
          </w:p>
        </w:tc>
        <w:tc>
          <w:tcPr>
            <w:tcW w:type="dxa" w:w="1134"/>
            <w:vAlign w:val="center"/>
          </w:tcPr>
          <w:p>
            <w:pPr>
              <w:spacing w:before="20" w:after="20"/>
            </w:pPr>
            <w:r>
              <w:rPr>
                <w:rFonts w:ascii="游ゴシック" w:hAnsi="游ゴシック" w:eastAsia="游ゴシック"/>
                <w:b/>
                <w:i w:val="0"/>
                <w:sz w:val="17"/>
              </w:rPr>
              <w:t>直ちに</w:t>
            </w:r>
          </w:p>
        </w:tc>
      </w:tr>
      <w:tr>
        <w:tc>
          <w:tcPr>
            <w:tcW w:type="dxa" w:w="2268"/>
            <w:vAlign w:val="center"/>
          </w:tcPr>
          <w:p>
            <w:pPr>
              <w:spacing w:before="20" w:after="20"/>
            </w:pPr>
            <w:r>
              <w:rPr>
                <w:rFonts w:ascii="游ゴシック" w:hAnsi="游ゴシック" w:eastAsia="游ゴシック"/>
                <w:b w:val="0"/>
                <w:i w:val="0"/>
                <w:sz w:val="17"/>
              </w:rPr>
              <w:t>第5章　施策の展開</w:t>
            </w:r>
          </w:p>
        </w:tc>
        <w:tc>
          <w:tcPr>
            <w:tcW w:type="dxa" w:w="6350"/>
            <w:vAlign w:val="center"/>
          </w:tcPr>
          <w:p>
            <w:pPr>
              <w:spacing w:before="20" w:after="20"/>
            </w:pPr>
            <w:r>
              <w:rPr>
                <w:rFonts w:ascii="游ゴシック" w:hAnsi="游ゴシック" w:eastAsia="游ゴシック"/>
                <w:b/>
                <w:i w:val="0"/>
                <w:sz w:val="17"/>
              </w:rPr>
              <w:t>住まいの施策を置くかを判断する。</w:t>
            </w:r>
            <w:r>
              <w:rPr>
                <w:rFonts w:ascii="游ゴシック" w:hAnsi="游ゴシック" w:eastAsia="游ゴシック"/>
                <w:b w:val="0"/>
                <w:i w:val="0"/>
                <w:sz w:val="17"/>
              </w:rPr>
              <w:t xml:space="preserve"> 県計画の【基本事項】③は「持家・賃貸住宅に居住する単身高齢者等に対するバリアフリー改修支援、地域密着型サービスの充実」を市町村に求めている。</w:t>
            </w:r>
            <w:r>
              <w:rPr>
                <w:rFonts w:ascii="游ゴシック" w:hAnsi="游ゴシック" w:eastAsia="游ゴシック"/>
                <w:b/>
                <w:i w:val="0"/>
                <w:sz w:val="17"/>
              </w:rPr>
              <w:t>本町に住宅改修の補助制度があるかを確かめたうえで決める</w:t>
            </w:r>
          </w:p>
        </w:tc>
        <w:tc>
          <w:tcPr>
            <w:tcW w:type="dxa" w:w="1134"/>
            <w:vAlign w:val="center"/>
          </w:tcPr>
          <w:p>
            <w:pPr>
              <w:spacing w:before="20" w:after="20"/>
            </w:pPr>
            <w:r>
              <w:rPr>
                <w:rFonts w:ascii="游ゴシック" w:hAnsi="游ゴシック" w:eastAsia="游ゴシック"/>
                <w:b w:val="0"/>
                <w:i w:val="0"/>
                <w:sz w:val="17"/>
              </w:rPr>
              <w:t>町の回答後</w:t>
            </w:r>
          </w:p>
        </w:tc>
      </w:tr>
      <w:tr>
        <w:tc>
          <w:tcPr>
            <w:tcW w:type="dxa" w:w="2268"/>
            <w:vAlign w:val="center"/>
          </w:tcPr>
          <w:p>
            <w:pPr>
              <w:keepNext/>
              <w:spacing w:before="20" w:after="20"/>
            </w:pPr>
            <w:r>
              <w:rPr>
                <w:rFonts w:ascii="游ゴシック" w:hAnsi="游ゴシック" w:eastAsia="游ゴシック"/>
                <w:b w:val="0"/>
                <w:i w:val="0"/>
                <w:sz w:val="17"/>
              </w:rPr>
              <w:t>第5章 基本目標2⑦（4つの場面）</w:t>
            </w:r>
          </w:p>
        </w:tc>
        <w:tc>
          <w:tcPr>
            <w:tcW w:type="dxa" w:w="6350"/>
            <w:vAlign w:val="center"/>
          </w:tcPr>
          <w:p>
            <w:pPr>
              <w:keepNext/>
              <w:spacing w:before="20" w:after="20"/>
            </w:pPr>
            <w:r>
              <w:rPr>
                <w:rFonts w:ascii="游ゴシック" w:hAnsi="游ゴシック" w:eastAsia="游ゴシック"/>
                <w:b/>
                <w:i w:val="0"/>
                <w:sz w:val="17"/>
              </w:rPr>
              <w:t>県計画の中通りの具体的取組「ＩＣＴを活用した病院、診療所、訪問看護ステーション、薬局、老人ホームの連携の推進」を引く。</w:t>
            </w:r>
            <w:r>
              <w:rPr>
                <w:rFonts w:ascii="游ゴシック" w:hAnsi="游ゴシック" w:eastAsia="游ゴシック"/>
                <w:b w:val="0"/>
                <w:i w:val="0"/>
                <w:sz w:val="17"/>
              </w:rPr>
              <w:t>本町は病院がなく診療所と訪問看護1か所であり、</w:t>
            </w:r>
            <w:r>
              <w:rPr>
                <w:rFonts w:ascii="游ゴシック" w:hAnsi="游ゴシック" w:eastAsia="游ゴシック"/>
                <w:b/>
                <w:i w:val="0"/>
                <w:sz w:val="17"/>
              </w:rPr>
              <w:t>4つの場面の目指すべき姿（照会Ｂ-5）を書く手がかりになる</w:t>
            </w:r>
          </w:p>
        </w:tc>
        <w:tc>
          <w:tcPr>
            <w:tcW w:type="dxa" w:w="1134"/>
            <w:vAlign w:val="center"/>
          </w:tcPr>
          <w:p>
            <w:pPr>
              <w:keepNext/>
              <w:spacing w:before="20" w:after="20"/>
            </w:pPr>
            <w:r>
              <w:rPr>
                <w:rFonts w:ascii="游ゴシック" w:hAnsi="游ゴシック" w:eastAsia="游ゴシック"/>
                <w:b/>
                <w:i w:val="0"/>
                <w:sz w:val="17"/>
              </w:rPr>
              <w:t>直ちに</w:t>
            </w:r>
          </w:p>
        </w:tc>
      </w:tr>
      <w:tr>
        <w:tc>
          <w:tcPr>
            <w:tcW w:type="dxa" w:w="2268"/>
            <w:vAlign w:val="center"/>
          </w:tcPr>
          <w:p>
            <w:pPr>
              <w:spacing w:before="20" w:after="20"/>
            </w:pPr>
            <w:r>
              <w:rPr>
                <w:rFonts w:ascii="游ゴシック" w:hAnsi="游ゴシック" w:eastAsia="游ゴシック"/>
                <w:b w:val="0"/>
                <w:i w:val="0"/>
                <w:sz w:val="17"/>
              </w:rPr>
              <w:t>第6章11　将来に向けたサービス提供体制の確保に関する施策</w:t>
            </w:r>
          </w:p>
        </w:tc>
        <w:tc>
          <w:tcPr>
            <w:tcW w:type="dxa" w:w="6350"/>
            <w:vAlign w:val="center"/>
          </w:tcPr>
          <w:p>
            <w:pPr>
              <w:spacing w:before="20" w:after="20"/>
            </w:pPr>
            <w:r>
              <w:rPr>
                <w:rFonts w:ascii="游ゴシック" w:hAnsi="游ゴシック" w:eastAsia="游ゴシック"/>
                <w:b/>
                <w:i w:val="0"/>
                <w:sz w:val="17"/>
              </w:rPr>
              <w:t>県の「介護支援専門員従事者確保事業」を担い手の面に引く。</w:t>
            </w:r>
            <w:r>
              <w:rPr>
                <w:rFonts w:ascii="游ゴシック" w:hAnsi="游ゴシック" w:eastAsia="游ゴシック"/>
                <w:b w:val="0"/>
                <w:i w:val="0"/>
                <w:sz w:val="17"/>
              </w:rPr>
              <w:t>本町の居宅介護支援事業所は5か所から3か所へ減っている</w:t>
            </w:r>
          </w:p>
        </w:tc>
        <w:tc>
          <w:tcPr>
            <w:tcW w:type="dxa" w:w="1134"/>
            <w:vAlign w:val="center"/>
          </w:tcPr>
          <w:p>
            <w:pPr>
              <w:spacing w:before="20" w:after="20"/>
            </w:pPr>
            <w:r>
              <w:rPr>
                <w:rFonts w:ascii="游ゴシック" w:hAnsi="游ゴシック" w:eastAsia="游ゴシック"/>
                <w:b/>
                <w:i w:val="0"/>
                <w:sz w:val="17"/>
              </w:rPr>
              <w:t>直ちに</w:t>
            </w:r>
          </w:p>
        </w:tc>
      </w:tr>
    </w:tbl>
    <w:p>
      <w:pPr>
        <w:spacing w:after="40"/>
      </w:pPr>
    </w:p>
    <w:p>
      <w:pPr>
        <w:spacing w:before="60" w:after="60"/>
      </w:pPr>
      <w:r>
        <w:rPr>
          <w:rFonts w:ascii="游ゴシック" w:hAnsi="游ゴシック" w:eastAsia="游ゴシック"/>
          <w:b/>
          <w:i w:val="0"/>
          <w:sz w:val="21"/>
        </w:rPr>
        <w:t>照会Ｄ-6は解けましたが、1つだけ残ります。</w:t>
      </w:r>
      <w:r>
        <w:rPr>
          <w:rFonts w:ascii="游ゴシック" w:hAnsi="游ゴシック" w:eastAsia="游ゴシック"/>
          <w:b w:val="0"/>
          <w:i w:val="0"/>
          <w:sz w:val="21"/>
        </w:rPr>
        <w:t xml:space="preserve"> </w:t>
      </w:r>
      <w:r>
        <w:rPr>
          <w:rFonts w:ascii="游ゴシック" w:hAnsi="游ゴシック" w:eastAsia="游ゴシック"/>
          <w:b/>
          <w:i w:val="0"/>
          <w:sz w:val="21"/>
        </w:rPr>
        <w:t>県が本計画をいつ改定するか</w:t>
      </w:r>
      <w:r>
        <w:rPr>
          <w:rFonts w:ascii="游ゴシック" w:hAnsi="游ゴシック" w:eastAsia="游ゴシック"/>
          <w:b w:val="0"/>
          <w:i w:val="0"/>
          <w:sz w:val="21"/>
        </w:rPr>
        <w:t>です。計画期間が令和8年度で満了し、本計画期間の初日には現行計画が存在しないため、</w:t>
      </w:r>
      <w:r>
        <w:rPr>
          <w:rFonts w:ascii="游ゴシック" w:hAnsi="游ゴシック" w:eastAsia="游ゴシック"/>
          <w:b/>
          <w:i w:val="0"/>
          <w:sz w:val="21"/>
        </w:rPr>
        <w:t>改定の時期と内容を県に確かめます。</w:t>
      </w:r>
    </w:p>
    <w:p>
      <w:pPr>
        <w:spacing w:before="40" w:after="160"/>
        <w:ind w:left="113"/>
      </w:pPr>
      <w:r>
        <w:rPr>
          <w:rFonts w:ascii="游ゴシック" w:hAnsi="游ゴシック" w:eastAsia="游ゴシック"/>
          <w:b w:val="0"/>
          <w:i w:val="0"/>
          <w:sz w:val="17"/>
        </w:rPr>
        <w:t>※ 本書は福島県高齢者居住安定確保計画（令和4年3月・福島県土木部・全37頁、令和8年10月15日受領）によるものです。</w:t>
      </w:r>
      <w:r>
        <w:rPr>
          <w:rFonts w:ascii="游ゴシック" w:hAnsi="游ゴシック" w:eastAsia="游ゴシック"/>
          <w:b/>
          <w:i w:val="0"/>
          <w:sz w:val="17"/>
        </w:rPr>
        <w:t>県計画の記述は公開資料であり、引用にあたっては出所を明記します。</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福島県高齢者居住安定確保計画の反映</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福島県高齢者居住安定確保計画の反映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福島県高齢者居住安定確保計画の反映</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