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素案（第6版）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8"/>
        <w:gridCol w:w="7220"/>
      </w:tblGrid>
      <w:tr>
        <w:tc>
          <w:tcPr>
            <w:tcW w:type="dxa" w:w="241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2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18"/>
            <w:vAlign w:val="center"/>
          </w:tcPr>
          <w:p>
            <w:pPr>
              <w:spacing w:before="20" w:after="20"/>
            </w:pPr>
            <w:r>
              <w:rPr>
                <w:rFonts w:ascii="BIZ UDPゴシック" w:hAnsi="BIZ UDPゴシック" w:eastAsia="BIZ UDPゴシック"/>
                <w:b w:val="0"/>
                <w:i w:val="0"/>
                <w:sz w:val="22"/>
              </w:rPr>
              <w:t>計画期間</w:t>
            </w:r>
          </w:p>
        </w:tc>
        <w:tc>
          <w:tcPr>
            <w:tcW w:type="dxa" w:w="7220"/>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418"/>
            <w:vAlign w:val="center"/>
          </w:tcPr>
          <w:p>
            <w:pPr>
              <w:spacing w:before="20" w:after="20"/>
            </w:pPr>
            <w:r>
              <w:rPr>
                <w:rFonts w:ascii="BIZ UDPゴシック" w:hAnsi="BIZ UDPゴシック" w:eastAsia="BIZ UDPゴシック"/>
                <w:b w:val="0"/>
                <w:i w:val="0"/>
                <w:sz w:val="22"/>
              </w:rPr>
              <w:t>位置づけ</w:t>
            </w:r>
          </w:p>
        </w:tc>
        <w:tc>
          <w:tcPr>
            <w:tcW w:type="dxa" w:w="7220"/>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418"/>
            <w:vAlign w:val="center"/>
          </w:tcPr>
          <w:p>
            <w:pPr>
              <w:spacing w:before="20" w:after="20"/>
            </w:pPr>
            <w:r>
              <w:rPr>
                <w:rFonts w:ascii="BIZ UDPゴシック" w:hAnsi="BIZ UDPゴシック" w:eastAsia="BIZ UDPゴシック"/>
                <w:b w:val="0"/>
                <w:i w:val="0"/>
                <w:sz w:val="22"/>
              </w:rPr>
              <w:t>第1版からの変更</w:t>
            </w:r>
          </w:p>
        </w:tc>
        <w:tc>
          <w:tcPr>
            <w:tcW w:type="dxa" w:w="7220"/>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2418"/>
            <w:vAlign w:val="center"/>
          </w:tcPr>
          <w:p>
            <w:pPr>
              <w:spacing w:before="20" w:after="20"/>
            </w:pPr>
            <w:r>
              <w:rPr>
                <w:rFonts w:ascii="BIZ UDPゴシック" w:hAnsi="BIZ UDPゴシック" w:eastAsia="BIZ UDPゴシック"/>
                <w:b w:val="0"/>
                <w:i w:val="0"/>
                <w:sz w:val="22"/>
              </w:rPr>
              <w:t>確定していない事項の表示</w:t>
            </w:r>
          </w:p>
        </w:tc>
        <w:tc>
          <w:tcPr>
            <w:tcW w:type="dxa" w:w="7220"/>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本素案には確定していない箇所が94あります。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64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町からのデータ受領を待っているのは39箇所（41.5％）で、最も多いのは協議会で設定する成果指標の目標値39箇所（41.5％）です。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39</w:t>
            </w:r>
          </w:p>
        </w:tc>
        <w:tc>
          <w:tcPr>
            <w:tcW w:type="dxa" w:w="1307"/>
            <w:vAlign w:val="center"/>
          </w:tcPr>
          <w:p>
            <w:pPr>
              <w:spacing w:before="20" w:after="20"/>
            </w:pPr>
            <w:r>
              <w:rPr>
                <w:rFonts w:ascii="BIZ UDPゴシック" w:hAnsi="BIZ UDPゴシック" w:eastAsia="BIZ UDPゴシック"/>
                <w:b w:val="0"/>
                <w:i w:val="0"/>
                <w:sz w:val="22"/>
              </w:rPr>
              <w:t>41.5％</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39</w:t>
            </w:r>
          </w:p>
        </w:tc>
        <w:tc>
          <w:tcPr>
            <w:tcW w:type="dxa" w:w="1307"/>
            <w:vAlign w:val="center"/>
          </w:tcPr>
          <w:p>
            <w:pPr>
              <w:spacing w:before="20" w:after="20"/>
            </w:pPr>
            <w:r>
              <w:rPr>
                <w:rFonts w:ascii="BIZ UDPゴシック" w:hAnsi="BIZ UDPゴシック" w:eastAsia="BIZ UDPゴシック"/>
                <w:b/>
                <w:i w:val="0"/>
                <w:sz w:val="22"/>
              </w:rPr>
              <w:t>41.5％</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12.8％</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4</w:t>
            </w:r>
          </w:p>
        </w:tc>
        <w:tc>
          <w:tcPr>
            <w:tcW w:type="dxa" w:w="1307"/>
            <w:vAlign w:val="center"/>
          </w:tcPr>
          <w:p>
            <w:pPr>
              <w:spacing w:before="20" w:after="20"/>
            </w:pPr>
            <w:r>
              <w:rPr>
                <w:rFonts w:ascii="BIZ UDPゴシック" w:hAnsi="BIZ UDPゴシック" w:eastAsia="BIZ UDPゴシック"/>
                <w:b w:val="0"/>
                <w:i w:val="0"/>
                <w:sz w:val="22"/>
              </w:rPr>
              <w:t>4.3％</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8"/>
        <w:gridCol w:w="3515"/>
        <w:gridCol w:w="4395"/>
      </w:tblGrid>
      <w:tr>
        <w:tc>
          <w:tcPr>
            <w:tcW w:type="dxa" w:w="17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51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395"/>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28"/>
            <w:vAlign w:val="center"/>
          </w:tcPr>
          <w:p>
            <w:pPr>
              <w:spacing w:before="20" w:after="20"/>
            </w:pPr>
            <w:r>
              <w:rPr>
                <w:rFonts w:ascii="BIZ UDPゴシック" w:hAnsi="BIZ UDPゴシック" w:eastAsia="BIZ UDPゴシック"/>
                <w:b w:val="0"/>
                <w:i w:val="0"/>
                <w:sz w:val="22"/>
              </w:rPr>
              <w:t>社会参加</w:t>
            </w:r>
          </w:p>
        </w:tc>
        <w:tc>
          <w:tcPr>
            <w:tcW w:type="dxa" w:w="3515"/>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395"/>
            <w:vAlign w:val="center"/>
          </w:tcPr>
          <w:p>
            <w:pPr>
              <w:spacing w:before="20" w:after="20"/>
            </w:pPr>
            <w:r>
              <w:rPr>
                <w:rFonts w:ascii="BIZ UDPゴシック" w:hAnsi="BIZ UDPゴシック" w:eastAsia="BIZ UDPゴシック"/>
                <w:b w:val="0"/>
                <w:i w:val="0"/>
                <w:sz w:val="22"/>
              </w:rPr>
              <w:t>5.5％</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395"/>
            <w:vAlign w:val="center"/>
          </w:tcPr>
          <w:p>
            <w:pPr>
              <w:spacing w:before="20" w:after="20"/>
            </w:pPr>
            <w:r>
              <w:rPr>
                <w:rFonts w:ascii="BIZ UDPゴシック" w:hAnsi="BIZ UDPゴシック" w:eastAsia="BIZ UDPゴシック"/>
                <w:b w:val="0"/>
                <w:i w:val="0"/>
                <w:sz w:val="22"/>
              </w:rPr>
              <w:t>13.8％</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395"/>
            <w:vAlign w:val="center"/>
          </w:tcPr>
          <w:p>
            <w:pPr>
              <w:spacing w:before="20" w:after="20"/>
            </w:pPr>
            <w:r>
              <w:rPr>
                <w:rFonts w:ascii="BIZ UDPゴシック" w:hAnsi="BIZ UDPゴシック" w:eastAsia="BIZ UDPゴシック"/>
                <w:b w:val="0"/>
                <w:i w:val="0"/>
                <w:sz w:val="22"/>
              </w:rPr>
              <w:t>76.2％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395"/>
            <w:vAlign w:val="center"/>
          </w:tcPr>
          <w:p>
            <w:pPr>
              <w:spacing w:before="20" w:after="20"/>
            </w:pPr>
            <w:r>
              <w:rPr>
                <w:rFonts w:ascii="BIZ UDPゴシック" w:hAnsi="BIZ UDPゴシック" w:eastAsia="BIZ UDPゴシック"/>
                <w:b w:val="0"/>
                <w:i w:val="0"/>
                <w:sz w:val="22"/>
              </w:rPr>
              <w:t>50.9％</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395"/>
            <w:vAlign w:val="center"/>
          </w:tcPr>
          <w:p>
            <w:pPr>
              <w:spacing w:before="20" w:after="20"/>
            </w:pPr>
            <w:r>
              <w:rPr>
                <w:rFonts w:ascii="BIZ UDPゴシック" w:hAnsi="BIZ UDPゴシック" w:eastAsia="BIZ UDPゴシック"/>
                <w:b w:val="0"/>
                <w:i w:val="0"/>
                <w:sz w:val="22"/>
              </w:rPr>
              <w:t>32.0％</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395"/>
            <w:vAlign w:val="center"/>
          </w:tcPr>
          <w:p>
            <w:pPr>
              <w:spacing w:before="20" w:after="20"/>
            </w:pPr>
            <w:r>
              <w:rPr>
                <w:rFonts w:ascii="BIZ UDPゴシック" w:hAnsi="BIZ UDPゴシック" w:eastAsia="BIZ UDPゴシック"/>
                <w:b w:val="0"/>
                <w:i w:val="0"/>
                <w:sz w:val="22"/>
              </w:rPr>
              <w:t>63.7％</w:t>
            </w:r>
          </w:p>
        </w:tc>
      </w:tr>
      <w:tr>
        <w:tc>
          <w:tcPr>
            <w:tcW w:type="dxa" w:w="1728"/>
            <w:vAlign w:val="center"/>
          </w:tcPr>
          <w:p>
            <w:pPr>
              <w:spacing w:before="20" w:after="20"/>
            </w:pPr>
            <w:r>
              <w:rPr>
                <w:rFonts w:ascii="BIZ UDPゴシック" w:hAnsi="BIZ UDPゴシック" w:eastAsia="BIZ UDPゴシック"/>
                <w:b w:val="0"/>
                <w:i w:val="0"/>
                <w:sz w:val="22"/>
              </w:rPr>
              <w:t>外出</w:t>
            </w:r>
          </w:p>
        </w:tc>
        <w:tc>
          <w:tcPr>
            <w:tcW w:type="dxa" w:w="3515"/>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395"/>
            <w:vAlign w:val="center"/>
          </w:tcPr>
          <w:p>
            <w:pPr>
              <w:spacing w:before="20" w:after="20"/>
            </w:pPr>
            <w:r>
              <w:rPr>
                <w:rFonts w:ascii="BIZ UDPゴシック" w:hAnsi="BIZ UDPゴシック" w:eastAsia="BIZ UDPゴシック"/>
                <w:b w:val="0"/>
                <w:i w:val="0"/>
                <w:sz w:val="22"/>
              </w:rPr>
              <w:t>73.2％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外出を控えている</w:t>
            </w:r>
          </w:p>
        </w:tc>
        <w:tc>
          <w:tcPr>
            <w:tcW w:type="dxa" w:w="4395"/>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395"/>
            <w:vAlign w:val="center"/>
          </w:tcPr>
          <w:p>
            <w:pPr>
              <w:spacing w:before="20" w:after="20"/>
            </w:pPr>
            <w:r>
              <w:rPr>
                <w:rFonts w:ascii="BIZ UDPゴシック" w:hAnsi="BIZ UDPゴシック" w:eastAsia="BIZ UDPゴシック"/>
                <w:b w:val="0"/>
                <w:i w:val="0"/>
                <w:sz w:val="22"/>
              </w:rPr>
              <w:t>29.7％</w:t>
            </w:r>
          </w:p>
        </w:tc>
      </w:tr>
      <w:tr>
        <w:tc>
          <w:tcPr>
            <w:tcW w:type="dxa" w:w="1728"/>
            <w:vAlign w:val="center"/>
          </w:tcPr>
          <w:p>
            <w:pPr>
              <w:spacing w:before="20" w:after="20"/>
            </w:pPr>
            <w:r>
              <w:rPr>
                <w:rFonts w:ascii="BIZ UDPゴシック" w:hAnsi="BIZ UDPゴシック" w:eastAsia="BIZ UDPゴシック"/>
                <w:b w:val="0"/>
                <w:i w:val="0"/>
                <w:sz w:val="22"/>
              </w:rPr>
              <w:t>認知症</w:t>
            </w:r>
          </w:p>
        </w:tc>
        <w:tc>
          <w:tcPr>
            <w:tcW w:type="dxa" w:w="3515"/>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395"/>
            <w:vAlign w:val="center"/>
          </w:tcPr>
          <w:p>
            <w:pPr>
              <w:spacing w:before="20" w:after="20"/>
            </w:pPr>
            <w:r>
              <w:rPr>
                <w:rFonts w:ascii="BIZ UDPゴシック" w:hAnsi="BIZ UDPゴシック" w:eastAsia="BIZ UDPゴシック"/>
                <w:b/>
                <w:i w:val="0"/>
                <w:sz w:val="22"/>
              </w:rPr>
              <w:t>33.2％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必要な支援：相談窓口の充実／情報提供</w:t>
            </w:r>
          </w:p>
        </w:tc>
        <w:tc>
          <w:tcPr>
            <w:tcW w:type="dxa" w:w="4395"/>
            <w:vAlign w:val="center"/>
          </w:tcPr>
          <w:p>
            <w:pPr>
              <w:spacing w:before="20" w:after="20"/>
            </w:pPr>
            <w:r>
              <w:rPr>
                <w:rFonts w:ascii="BIZ UDPゴシック" w:hAnsi="BIZ UDPゴシック" w:eastAsia="BIZ UDPゴシック"/>
                <w:b w:val="0"/>
                <w:i w:val="0"/>
                <w:sz w:val="22"/>
              </w:rPr>
              <w:t>54.1％／51.9％</w:t>
            </w:r>
          </w:p>
        </w:tc>
      </w:tr>
      <w:tr>
        <w:tc>
          <w:tcPr>
            <w:tcW w:type="dxa" w:w="1728"/>
            <w:vAlign w:val="center"/>
          </w:tcPr>
          <w:p>
            <w:pPr>
              <w:spacing w:before="20" w:after="20"/>
            </w:pPr>
            <w:r>
              <w:rPr>
                <w:rFonts w:ascii="BIZ UDPゴシック" w:hAnsi="BIZ UDPゴシック" w:eastAsia="BIZ UDPゴシック"/>
                <w:b w:val="0"/>
                <w:i w:val="0"/>
                <w:sz w:val="22"/>
              </w:rPr>
              <w:t>生きがい</w:t>
            </w:r>
          </w:p>
        </w:tc>
        <w:tc>
          <w:tcPr>
            <w:tcW w:type="dxa" w:w="3515"/>
            <w:vAlign w:val="center"/>
          </w:tcPr>
          <w:p>
            <w:pPr>
              <w:spacing w:before="20" w:after="20"/>
            </w:pPr>
            <w:r>
              <w:rPr>
                <w:rFonts w:ascii="BIZ UDPゴシック" w:hAnsi="BIZ UDPゴシック" w:eastAsia="BIZ UDPゴシック"/>
                <w:b w:val="0"/>
                <w:i w:val="0"/>
                <w:sz w:val="22"/>
              </w:rPr>
              <w:t>生きがいが「思いつかない」</w:t>
            </w:r>
          </w:p>
        </w:tc>
        <w:tc>
          <w:tcPr>
            <w:tcW w:type="dxa" w:w="4395"/>
            <w:vAlign w:val="center"/>
          </w:tcPr>
          <w:p>
            <w:pPr>
              <w:spacing w:before="20" w:after="20"/>
            </w:pPr>
            <w:r>
              <w:rPr>
                <w:rFonts w:ascii="BIZ UDPゴシック" w:hAnsi="BIZ UDPゴシック" w:eastAsia="BIZ UDPゴシック"/>
                <w:b w:val="0"/>
                <w:i w:val="0"/>
                <w:sz w:val="22"/>
              </w:rPr>
              <w:t>36.5％</w:t>
            </w:r>
          </w:p>
        </w:tc>
      </w:tr>
      <w:tr>
        <w:tc>
          <w:tcPr>
            <w:tcW w:type="dxa" w:w="1728"/>
            <w:vAlign w:val="center"/>
          </w:tcPr>
          <w:p>
            <w:pPr>
              <w:spacing w:before="20" w:after="20"/>
            </w:pPr>
            <w:r>
              <w:rPr>
                <w:rFonts w:ascii="BIZ UDPゴシック" w:hAnsi="BIZ UDPゴシック" w:eastAsia="BIZ UDPゴシック"/>
                <w:b w:val="0"/>
                <w:i w:val="0"/>
                <w:sz w:val="22"/>
              </w:rPr>
              <w:t>相談</w:t>
            </w:r>
          </w:p>
        </w:tc>
        <w:tc>
          <w:tcPr>
            <w:tcW w:type="dxa" w:w="3515"/>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395"/>
            <w:vAlign w:val="center"/>
          </w:tcPr>
          <w:p>
            <w:pPr>
              <w:spacing w:before="20" w:after="20"/>
            </w:pPr>
            <w:r>
              <w:rPr>
                <w:rFonts w:ascii="BIZ UDPゴシック" w:hAnsi="BIZ UDPゴシック" w:eastAsia="BIZ UDPゴシック"/>
                <w:b w:val="0"/>
                <w:i w:val="0"/>
                <w:sz w:val="22"/>
              </w:rPr>
              <w:t>38.0％</w:t>
            </w:r>
          </w:p>
        </w:tc>
      </w:tr>
      <w:tr>
        <w:tc>
          <w:tcPr>
            <w:tcW w:type="dxa" w:w="1728"/>
            <w:vAlign w:val="center"/>
          </w:tcPr>
          <w:p>
            <w:pPr>
              <w:spacing w:before="20" w:after="20"/>
            </w:pPr>
            <w:r>
              <w:rPr>
                <w:rFonts w:ascii="BIZ UDPゴシック" w:hAnsi="BIZ UDPゴシック" w:eastAsia="BIZ UDPゴシック"/>
                <w:b w:val="0"/>
                <w:i w:val="0"/>
                <w:sz w:val="22"/>
              </w:rPr>
              <w:t>災害</w:t>
            </w:r>
          </w:p>
        </w:tc>
        <w:tc>
          <w:tcPr>
            <w:tcW w:type="dxa" w:w="3515"/>
            <w:vAlign w:val="center"/>
          </w:tcPr>
          <w:p>
            <w:pPr>
              <w:spacing w:before="20" w:after="20"/>
            </w:pPr>
            <w:r>
              <w:rPr>
                <w:rFonts w:ascii="BIZ UDPゴシック" w:hAnsi="BIZ UDPゴシック" w:eastAsia="BIZ UDPゴシック"/>
                <w:b w:val="0"/>
                <w:i w:val="0"/>
                <w:sz w:val="22"/>
              </w:rPr>
              <w:t>災害時に一人で避難できない</w:t>
            </w:r>
          </w:p>
        </w:tc>
        <w:tc>
          <w:tcPr>
            <w:tcW w:type="dxa" w:w="4395"/>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395"/>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 在宅介護実態調査は、調査結果報告書の記載では回収数319件ですが、集計のnはすべて366です。この不一致は町に確認中です。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15"/>
        <w:gridCol w:w="1958"/>
        <w:gridCol w:w="3565"/>
      </w:tblGrid>
      <w:tr>
        <w:tc>
          <w:tcPr>
            <w:tcW w:type="dxa" w:w="4115"/>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958"/>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565"/>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4115"/>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1958"/>
            <w:vAlign w:val="center"/>
          </w:tcPr>
          <w:p>
            <w:pPr>
              <w:spacing w:before="20" w:after="20"/>
            </w:pPr>
            <w:r>
              <w:rPr>
                <w:rFonts w:ascii="BIZ UDPゴシック" w:hAnsi="BIZ UDPゴシック" w:eastAsia="BIZ UDPゴシック"/>
                <w:b w:val="0"/>
                <w:i w:val="0"/>
                <w:sz w:val="22"/>
              </w:rPr>
              <w:t>1.24</w:t>
            </w:r>
          </w:p>
        </w:tc>
        <w:tc>
          <w:tcPr>
            <w:tcW w:type="dxa" w:w="3565"/>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県内2位</w:t>
            </w:r>
          </w:p>
        </w:tc>
      </w:tr>
      <w:tr>
        <w:tc>
          <w:tcPr>
            <w:tcW w:type="dxa" w:w="4115"/>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1958"/>
            <w:vAlign w:val="center"/>
          </w:tcPr>
          <w:p>
            <w:pPr>
              <w:spacing w:before="20" w:after="20"/>
            </w:pPr>
            <w:r>
              <w:rPr>
                <w:rFonts w:ascii="BIZ UDPゴシック" w:hAnsi="BIZ UDPゴシック" w:eastAsia="BIZ UDPゴシック"/>
                <w:b w:val="0"/>
                <w:i w:val="0"/>
                <w:sz w:val="22"/>
              </w:rPr>
              <w:t>1.08</w:t>
            </w:r>
          </w:p>
        </w:tc>
        <w:tc>
          <w:tcPr>
            <w:tcW w:type="dxa" w:w="3565"/>
            <w:vAlign w:val="center"/>
          </w:tcPr>
          <w:p>
            <w:pPr>
              <w:spacing w:before="20" w:after="20"/>
            </w:pPr>
            <w:r>
              <w:rPr>
                <w:rFonts w:ascii="BIZ UDPゴシック" w:hAnsi="BIZ UDPゴシック" w:eastAsia="BIZ UDPゴシック"/>
                <w:b w:val="0"/>
                <w:i w:val="0"/>
                <w:sz w:val="22"/>
              </w:rPr>
              <w:t>全国平均を8％上回る</w:t>
            </w:r>
          </w:p>
        </w:tc>
      </w:tr>
      <w:tr>
        <w:tc>
          <w:tcPr>
            <w:tcW w:type="dxa" w:w="4115"/>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県内23位</w:t>
            </w:r>
          </w:p>
        </w:tc>
      </w:tr>
      <w:tr>
        <w:tc>
          <w:tcPr>
            <w:tcW w:type="dxa" w:w="4115"/>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県内30位</w:t>
            </w:r>
          </w:p>
        </w:tc>
      </w:tr>
    </w:tbl>
    <w:p>
      <w:pPr>
        <w:spacing w:after="40"/>
      </w:pPr>
    </w:p>
    <w:p>
      <w:pPr>
        <w:spacing w:before="60" w:after="60"/>
      </w:pPr>
      <w:r>
        <w:rPr>
          <w:rFonts w:ascii="BIZ UDPゴシック" w:hAnsi="BIZ UDPゴシック" w:eastAsia="BIZ UDPゴシック"/>
          <w:b/>
          <w:i w:val="0"/>
          <w:sz w:val="24"/>
        </w:rPr>
        <w:t>認定率は県内2位と高い一方、給付月額は県内中位です。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需要側の要因が合計92.9％を占めます。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町内定員（令和7年度）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52"/>
        <w:gridCol w:w="7686"/>
      </w:tblGrid>
      <w:tr>
        <w:tc>
          <w:tcPr>
            <w:tcW w:type="dxa" w:w="195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686"/>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952"/>
            <w:vAlign w:val="center"/>
          </w:tcPr>
          <w:p>
            <w:pPr>
              <w:spacing w:before="20" w:after="20"/>
            </w:pPr>
            <w:r>
              <w:rPr>
                <w:rFonts w:ascii="BIZ UDPゴシック" w:hAnsi="BIZ UDPゴシック" w:eastAsia="BIZ UDPゴシック"/>
                <w:b w:val="0"/>
                <w:i w:val="0"/>
                <w:sz w:val="22"/>
              </w:rPr>
              <w:t>第9期での課題</w:t>
            </w:r>
          </w:p>
        </w:tc>
        <w:tc>
          <w:tcPr>
            <w:tcW w:type="dxa" w:w="7686"/>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952"/>
            <w:vAlign w:val="center"/>
          </w:tcPr>
          <w:p>
            <w:pPr>
              <w:spacing w:before="20" w:after="20"/>
            </w:pPr>
            <w:r>
              <w:rPr>
                <w:rFonts w:ascii="BIZ UDPゴシック" w:hAnsi="BIZ UDPゴシック" w:eastAsia="BIZ UDPゴシック"/>
                <w:b w:val="0"/>
                <w:i w:val="0"/>
                <w:sz w:val="22"/>
              </w:rPr>
              <w:t>令和7年度調査からみた状況</w:t>
            </w:r>
          </w:p>
        </w:tc>
        <w:tc>
          <w:tcPr>
            <w:tcW w:type="dxa" w:w="7686"/>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952"/>
            <w:vAlign w:val="center"/>
          </w:tcPr>
          <w:p>
            <w:pPr>
              <w:spacing w:before="20" w:after="20"/>
            </w:pPr>
            <w:r>
              <w:rPr>
                <w:rFonts w:ascii="BIZ UDPゴシック" w:hAnsi="BIZ UDPゴシック" w:eastAsia="BIZ UDPゴシック"/>
                <w:b w:val="0"/>
                <w:i w:val="0"/>
                <w:sz w:val="22"/>
              </w:rPr>
              <w:t>介護予防の実施状況</w:t>
            </w:r>
          </w:p>
        </w:tc>
        <w:tc>
          <w:tcPr>
            <w:tcW w:type="dxa" w:w="7686"/>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952"/>
            <w:vAlign w:val="center"/>
          </w:tcPr>
          <w:p>
            <w:pPr>
              <w:spacing w:before="20" w:after="20"/>
            </w:pPr>
            <w:r>
              <w:rPr>
                <w:rFonts w:ascii="BIZ UDPゴシック" w:hAnsi="BIZ UDPゴシック" w:eastAsia="BIZ UDPゴシック"/>
                <w:b/>
                <w:i w:val="0"/>
                <w:sz w:val="22"/>
              </w:rPr>
              <w:t>第10期での課題</w:t>
            </w:r>
          </w:p>
        </w:tc>
        <w:tc>
          <w:tcPr>
            <w:tcW w:type="dxa" w:w="7686"/>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8"/>
        <w:gridCol w:w="7590"/>
      </w:tblGrid>
      <w:tr>
        <w:tc>
          <w:tcPr>
            <w:tcW w:type="dxa" w:w="20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59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048"/>
            <w:vAlign w:val="center"/>
          </w:tcPr>
          <w:p>
            <w:pPr>
              <w:spacing w:before="20" w:after="20"/>
            </w:pPr>
            <w:r>
              <w:rPr>
                <w:rFonts w:ascii="BIZ UDPゴシック" w:hAnsi="BIZ UDPゴシック" w:eastAsia="BIZ UDPゴシック"/>
                <w:b w:val="0"/>
                <w:i w:val="0"/>
                <w:sz w:val="22"/>
              </w:rPr>
              <w:t>第9期での課題</w:t>
            </w:r>
          </w:p>
        </w:tc>
        <w:tc>
          <w:tcPr>
            <w:tcW w:type="dxa" w:w="7590"/>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2048"/>
            <w:vAlign w:val="center"/>
          </w:tcPr>
          <w:p>
            <w:pPr>
              <w:spacing w:before="20" w:after="20"/>
            </w:pPr>
            <w:r>
              <w:rPr>
                <w:rFonts w:ascii="BIZ UDPゴシック" w:hAnsi="BIZ UDPゴシック" w:eastAsia="BIZ UDPゴシック"/>
                <w:b w:val="0"/>
                <w:i w:val="0"/>
                <w:sz w:val="22"/>
              </w:rPr>
              <w:t>令和7年度調査からみた状況</w:t>
            </w:r>
          </w:p>
        </w:tc>
        <w:tc>
          <w:tcPr>
            <w:tcW w:type="dxa" w:w="7590"/>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2048"/>
            <w:vAlign w:val="center"/>
          </w:tcPr>
          <w:p>
            <w:pPr>
              <w:spacing w:before="20" w:after="20"/>
            </w:pPr>
            <w:r>
              <w:rPr>
                <w:rFonts w:ascii="BIZ UDPゴシック" w:hAnsi="BIZ UDPゴシック" w:eastAsia="BIZ UDPゴシック"/>
                <w:b w:val="0"/>
                <w:i w:val="0"/>
                <w:sz w:val="22"/>
              </w:rPr>
              <w:t>認知症施策の実施状況</w:t>
            </w:r>
          </w:p>
        </w:tc>
        <w:tc>
          <w:tcPr>
            <w:tcW w:type="dxa" w:w="7590"/>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2048"/>
            <w:vAlign w:val="center"/>
          </w:tcPr>
          <w:p>
            <w:pPr>
              <w:spacing w:before="20" w:after="20"/>
            </w:pPr>
            <w:r>
              <w:rPr>
                <w:rFonts w:ascii="BIZ UDPゴシック" w:hAnsi="BIZ UDPゴシック" w:eastAsia="BIZ UDPゴシック"/>
                <w:b w:val="0"/>
                <w:i w:val="0"/>
                <w:sz w:val="22"/>
              </w:rPr>
              <w:t>災害時の状況</w:t>
            </w:r>
          </w:p>
        </w:tc>
        <w:tc>
          <w:tcPr>
            <w:tcW w:type="dxa" w:w="7590"/>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2048"/>
            <w:vAlign w:val="center"/>
          </w:tcPr>
          <w:p>
            <w:pPr>
              <w:spacing w:before="20" w:after="20"/>
            </w:pPr>
            <w:r>
              <w:rPr>
                <w:rFonts w:ascii="BIZ UDPゴシック" w:hAnsi="BIZ UDPゴシック" w:eastAsia="BIZ UDPゴシック"/>
                <w:b/>
                <w:i w:val="0"/>
                <w:sz w:val="22"/>
              </w:rPr>
              <w:t>第10期での課題</w:t>
            </w:r>
          </w:p>
        </w:tc>
        <w:tc>
          <w:tcPr>
            <w:tcW w:type="dxa" w:w="7590"/>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住民が必要とする支援の上位2つが相談窓口の充実（54.1％）と情報提供（51.9％）である。</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在宅の要介護認定者の42.1％が介護保険サービスを利用しておらず、その理由の92.9％が需要側の要因である。</w:t>
            </w:r>
            <w:r>
              <w:rPr>
                <w:rFonts w:ascii="BIZ UDPゴシック" w:hAnsi="BIZ UDPゴシック" w:eastAsia="BIZ UDPゴシック"/>
                <w:b w:val="0"/>
                <w:i w:val="0"/>
                <w:sz w:val="22"/>
              </w:rPr>
              <w:t>供給制約は0.6％、費用は3.9％、手続きの分かりにくさは4.5％にとどまる</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0"/>
        <w:gridCol w:w="2200"/>
        <w:gridCol w:w="1684"/>
        <w:gridCol w:w="3684"/>
      </w:tblGrid>
      <w:tr>
        <w:tc>
          <w:tcPr>
            <w:tcW w:type="dxa" w:w="2070"/>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200"/>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84"/>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684"/>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70"/>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200"/>
            <w:vAlign w:val="center"/>
          </w:tcPr>
          <w:p>
            <w:pPr>
              <w:spacing w:before="20" w:after="20"/>
            </w:pPr>
            <w:r>
              <w:rPr>
                <w:rFonts w:ascii="BIZ UDPゴシック" w:hAnsi="BIZ UDPゴシック" w:eastAsia="BIZ UDPゴシック"/>
                <w:b w:val="0"/>
                <w:i w:val="0"/>
                <w:sz w:val="22"/>
              </w:rPr>
              <w:t>① 健康づくりの推進</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r>
              <w:rPr>
                <w:rFonts w:ascii="BIZ UDPゴシック" w:hAnsi="BIZ UDPゴシック" w:eastAsia="BIZ UDPゴシック"/>
                <w:b w:val="0"/>
                <w:i w:val="0"/>
                <w:sz w:val="22"/>
              </w:rPr>
              <w:t>2　安全・安心な暮らしの確保</w:t>
            </w:r>
          </w:p>
        </w:tc>
        <w:tc>
          <w:tcPr>
            <w:tcW w:type="dxa" w:w="2200"/>
            <w:vAlign w:val="center"/>
          </w:tcPr>
          <w:p>
            <w:pPr>
              <w:spacing w:before="20" w:after="20"/>
            </w:pPr>
            <w:r>
              <w:rPr>
                <w:rFonts w:ascii="BIZ UDPゴシック" w:hAnsi="BIZ UDPゴシック" w:eastAsia="BIZ UDPゴシック"/>
                <w:b w:val="0"/>
                <w:i w:val="0"/>
                <w:sz w:val="22"/>
              </w:rPr>
              <w:t>① 地域の支え合いの支援</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成年後見制度の利用促進</w:t>
            </w:r>
          </w:p>
        </w:tc>
        <w:tc>
          <w:tcPr>
            <w:tcW w:type="dxa" w:w="1684"/>
            <w:vAlign w:val="center"/>
          </w:tcPr>
          <w:p>
            <w:pPr>
              <w:spacing w:before="20" w:after="20"/>
            </w:pPr>
            <w:r>
              <w:rPr>
                <w:rFonts w:ascii="BIZ UDPゴシック" w:hAnsi="BIZ UDPゴシック" w:eastAsia="BIZ UDPゴシック"/>
                <w:b/>
                <w:i w:val="0"/>
                <w:sz w:val="22"/>
              </w:rPr>
              <w:t>地域福祉計画に移管</w:t>
            </w:r>
          </w:p>
        </w:tc>
        <w:tc>
          <w:tcPr>
            <w:tcW w:type="dxa" w:w="3684"/>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④ 認知症施策の充実</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⑤ 高齢者虐待防止の推進</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⑥ 災害・感染症対応等の充実</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⑦ 多様な生活支援の充実</w:t>
            </w:r>
          </w:p>
        </w:tc>
        <w:tc>
          <w:tcPr>
            <w:tcW w:type="dxa" w:w="1684"/>
            <w:vAlign w:val="center"/>
          </w:tcPr>
          <w:p>
            <w:pPr>
              <w:spacing w:before="20" w:after="20"/>
            </w:pPr>
            <w:r>
              <w:rPr>
                <w:rFonts w:ascii="BIZ UDPゴシック" w:hAnsi="BIZ UDPゴシック" w:eastAsia="BIZ UDPゴシック"/>
                <w:b w:val="0"/>
                <w:i w:val="0"/>
                <w:sz w:val="22"/>
              </w:rPr>
              <w:t>継承（一部連携）</w:t>
            </w:r>
          </w:p>
        </w:tc>
        <w:tc>
          <w:tcPr>
            <w:tcW w:type="dxa" w:w="3684"/>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r>
              <w:rPr>
                <w:rFonts w:ascii="BIZ UDPゴシック" w:hAnsi="BIZ UDPゴシック" w:eastAsia="BIZ UDPゴシック"/>
                <w:b w:val="0"/>
                <w:i w:val="0"/>
                <w:sz w:val="22"/>
              </w:rPr>
              <w:t>3　介護サービスの充実</w:t>
            </w:r>
          </w:p>
        </w:tc>
        <w:tc>
          <w:tcPr>
            <w:tcW w:type="dxa" w:w="2200"/>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在宅の要介護認定者の42.1％が未利用であり、その理由の92.9％が需要側の要因である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、住民が必要と考える支援は「相談窓口の充実」54.1％、「認知症に関する情報提供」51.9％が上位を占めました。一方、「認知症カフェの開催」は9.2％にとどまりました。</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認定率は県内2位である一方、給付月額は県内中位であり、在宅の要介護認定者の42.1％がサービスを利用していないことを踏まえると、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1"/>
        <w:gridCol w:w="2824"/>
        <w:gridCol w:w="2824"/>
      </w:tblGrid>
      <w:tr>
        <w:tc>
          <w:tcPr>
            <w:tcW w:type="dxa" w:w="3991"/>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82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2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91"/>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ケアプラン点検の実施件数</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要介護度の維持・改善率</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介護給付適正化の主要3事業の実施状況は【町データ待ち】。特に要介護認定の適正化については、認定者数の推移との関係を確認する必要があります。</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県内2位</w:t>
      </w:r>
      <w:r>
        <w:rPr>
          <w:rFonts w:ascii="BIZ UDPゴシック" w:hAnsi="BIZ UDPゴシック" w:eastAsia="BIZ UDPゴシック"/>
          <w:b w:val="0"/>
          <w:i w:val="0"/>
          <w:sz w:val="24"/>
        </w:rPr>
        <w:t>です。一方、第1号被保険者1人あたり給付月額は1.08にとどまり、在宅サービスは県内23位、施設・居住系は県内30位と中位です。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需要側の要因 計</w:t>
            </w:r>
          </w:p>
        </w:tc>
        <w:tc>
          <w:tcPr>
            <w:tcW w:type="dxa" w:w="2350"/>
            <w:vAlign w:val="center"/>
          </w:tcPr>
          <w:p>
            <w:pPr>
              <w:spacing w:before="20" w:after="20"/>
            </w:pPr>
            <w:r>
              <w:rPr>
                <w:rFonts w:ascii="BIZ UDPゴシック" w:hAnsi="BIZ UDPゴシック" w:eastAsia="BIZ UDPゴシック"/>
                <w:b/>
                <w:i w:val="0"/>
                <w:sz w:val="22"/>
              </w:rPr>
              <w:t>92.9％</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60" w:after="60"/>
      </w:pPr>
      <w:r>
        <w:rPr>
          <w:rFonts w:ascii="BIZ UDPゴシック" w:hAnsi="BIZ UDPゴシック" w:eastAsia="BIZ UDPゴシック"/>
          <w:b/>
          <w:i w:val="0"/>
          <w:sz w:val="24"/>
        </w:rPr>
        <w:t>供給制約は0.6％、費用は3.9％、手続きの分かりにくさは4.5％にとどまり、需要側の要因が92.9％を占めます。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8"/>
        <w:gridCol w:w="4809"/>
        <w:gridCol w:w="2550"/>
      </w:tblGrid>
      <w:tr>
        <w:tc>
          <w:tcPr>
            <w:tcW w:type="dxa" w:w="227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0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0"/>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78"/>
            <w:vAlign w:val="center"/>
          </w:tcPr>
          <w:p>
            <w:pPr>
              <w:spacing w:before="20" w:after="20"/>
            </w:pPr>
            <w:r>
              <w:rPr>
                <w:rFonts w:ascii="BIZ UDPゴシック" w:hAnsi="BIZ UDPゴシック" w:eastAsia="BIZ UDPゴシック"/>
                <w:b w:val="0"/>
                <w:i w:val="0"/>
                <w:sz w:val="22"/>
              </w:rPr>
              <w:t>① 認定の運用の確認</w:t>
            </w:r>
          </w:p>
        </w:tc>
        <w:tc>
          <w:tcPr>
            <w:tcW w:type="dxa" w:w="4809"/>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サービス利用の必要が生じる前の申請がどの程度あるかを把握する。認定を受けること自体は制度上妨げられないが、認定率が県内2位である理由の説明につながる</w:t>
            </w:r>
          </w:p>
        </w:tc>
        <w:tc>
          <w:tcPr>
            <w:tcW w:type="dxa" w:w="2550"/>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7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09"/>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50"/>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7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09"/>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50"/>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未利用理由の92.9％が需要側の要因であり供給制約が0.6％にとどまる調査結果と整合します。一方、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