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協議用素案（令和8年9月時点）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令和8（2026）年9月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第13条が市町村認知症施策推進計画について定めています。同法は市町村を実施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市町村認知症施策推進計画は構成3町がそれぞれ策定します（第2節）。本計画との調和は資料2の役割分担及び共通KPIにより保ちます。都道府県認知症施策推進計画の策定の状況は［要確認］です。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