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次に着手するもの（10月16日（金））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町・国・県の回答を待たずに進められる作業は40件・110.5時間分あり、うち39件（104.5時間）が令和8年10月15日までに済んでいます。</w:t>
      </w:r>
      <w:r>
        <w:rPr>
          <w:rFonts w:ascii="游ゴシック" w:hAnsi="游ゴシック" w:eastAsia="游ゴシック"/>
          <w:b w:val="0"/>
          <w:i w:val="0"/>
          <w:sz w:val="21"/>
        </w:rPr>
        <w:t>令和8年10月16日は残り1件のうち1件（6.0時間）に着手します。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進捗の乖離を測ったところ、高齢者計画は予定より+11.1ポイント、障がい計画は+1.8ポイントでした。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60.0％</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+11.1pt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57.3％</w:t>
            </w:r>
          </w:p>
        </w:tc>
        <w:tc>
          <w:tcPr>
            <w:tcW w:type="dxa" w:w="1247"/>
            <w:vAlign w:val="center"/>
          </w:tcPr>
          <w:p>
            <w:pPr>
              <w:spacing w:before="20" w:after="20"/>
              <w:jc w:val="right"/>
            </w:pPr>
            <w:r>
              <w:rPr>
                <w:rFonts w:ascii="游ゴシック" w:hAnsi="游ゴシック" w:eastAsia="游ゴシック"/>
                <w:b w:val="0"/>
                <w:i w:val="0"/>
                <w:sz w:val="17"/>
              </w:rPr>
              <w:t>59.0％</w:t>
            </w:r>
          </w:p>
        </w:tc>
        <w:tc>
          <w:tcPr>
            <w:tcW w:type="dxa" w:w="1020"/>
            <w:vAlign w:val="center"/>
          </w:tcPr>
          <w:p>
            <w:pPr>
              <w:spacing w:before="20" w:after="20"/>
              <w:jc w:val="right"/>
            </w:pPr>
            <w:r>
              <w:rPr>
                <w:rFonts w:ascii="游ゴシック" w:hAnsi="游ゴシック" w:eastAsia="游ゴシック"/>
                <w:b w:val="0"/>
                <w:i w:val="0"/>
                <w:sz w:val="17"/>
              </w:rPr>
              <w:t>+1.8pt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2件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高齢者計画は予定を+11.1ポイント上回っています。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一方で障がい計画は+1.8ポイント下回っており、こちらが本業務全体の弱いところです。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49％</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keepNext/>
              <w:spacing w:before="20" w:after="20"/>
            </w:pPr>
            <w:r>
              <w:rPr>
                <w:rFonts w:ascii="游ゴシック" w:hAnsi="游ゴシック" w:eastAsia="游ゴシック"/>
                <w:b w:val="0"/>
                <w:i w:val="0"/>
                <w:sz w:val="17"/>
              </w:rPr>
              <w:t>3-2</w:t>
            </w:r>
          </w:p>
        </w:tc>
        <w:tc>
          <w:tcPr>
            <w:tcW w:type="dxa" w:w="1928"/>
            <w:vAlign w:val="center"/>
          </w:tcPr>
          <w:p>
            <w:pPr>
              <w:keepNext/>
              <w:spacing w:before="20" w:after="20"/>
            </w:pPr>
            <w:r>
              <w:rPr>
                <w:rFonts w:ascii="游ゴシック" w:hAnsi="游ゴシック" w:eastAsia="游ゴシック"/>
                <w:b w:val="0"/>
                <w:i w:val="0"/>
                <w:sz w:val="17"/>
              </w:rPr>
              <w:t>町の給付実績との突合</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50％</w:t>
            </w:r>
          </w:p>
        </w:tc>
        <w:tc>
          <w:tcPr>
            <w:tcW w:type="dxa" w:w="624"/>
            <w:vAlign w:val="center"/>
          </w:tcPr>
          <w:p>
            <w:pPr>
              <w:keepNext/>
              <w:spacing w:before="20" w:after="20"/>
              <w:jc w:val="right"/>
            </w:pPr>
            <w:r>
              <w:rPr>
                <w:rFonts w:ascii="游ゴシック" w:hAnsi="游ゴシック" w:eastAsia="游ゴシック"/>
                <w:b w:val="0"/>
                <w:i w:val="0"/>
                <w:sz w:val="17"/>
              </w:rPr>
              <w:t>73％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keepNext/>
              <w:spacing w:before="20" w:after="20"/>
            </w:pPr>
            <w:r>
              <w:rPr>
                <w:rFonts w:ascii="游ゴシック" w:hAnsi="游ゴシック" w:eastAsia="游ゴシック"/>
                <w:b w:val="0"/>
                <w:i w:val="0"/>
                <w:sz w:val="17"/>
              </w:rPr>
              <w:t>2-5</w:t>
            </w:r>
          </w:p>
        </w:tc>
        <w:tc>
          <w:tcPr>
            <w:tcW w:type="dxa" w:w="1928"/>
            <w:vAlign w:val="center"/>
          </w:tcPr>
          <w:p>
            <w:pPr>
              <w:keepNext/>
              <w:spacing w:before="20" w:after="20"/>
            </w:pPr>
            <w:r>
              <w:rPr>
                <w:rFonts w:ascii="游ゴシック" w:hAnsi="游ゴシック" w:eastAsia="游ゴシック"/>
                <w:b w:val="0"/>
                <w:i w:val="0"/>
                <w:sz w:val="17"/>
              </w:rPr>
              <w:t>対象者の抽出</w:t>
            </w:r>
          </w:p>
        </w:tc>
        <w:tc>
          <w:tcPr>
            <w:tcW w:type="dxa" w:w="850"/>
            <w:vAlign w:val="center"/>
          </w:tcPr>
          <w:p>
            <w:pPr>
              <w:keepNext/>
              <w:spacing w:before="20" w:after="20"/>
            </w:pPr>
            <w:r>
              <w:rPr>
                <w:rFonts w:ascii="游ゴシック" w:hAnsi="游ゴシック" w:eastAsia="游ゴシック"/>
                <w:b w:val="0"/>
                <w:i w:val="0"/>
                <w:sz w:val="17"/>
              </w:rPr>
              <w:t>町</w:t>
            </w:r>
          </w:p>
        </w:tc>
        <w:tc>
          <w:tcPr>
            <w:tcW w:type="dxa" w:w="850"/>
            <w:vAlign w:val="center"/>
          </w:tcPr>
          <w:p>
            <w:pPr>
              <w:keepNext/>
              <w:spacing w:before="20" w:after="20"/>
            </w:pPr>
            <w:r>
              <w:rPr>
                <w:rFonts w:ascii="游ゴシック" w:hAnsi="游ゴシック" w:eastAsia="游ゴシック"/>
                <w:b w:val="0"/>
                <w:i w:val="0"/>
                <w:sz w:val="17"/>
              </w:rPr>
              <w:t>2026-09</w:t>
            </w:r>
          </w:p>
        </w:tc>
        <w:tc>
          <w:tcPr>
            <w:tcW w:type="dxa" w:w="624"/>
            <w:vAlign w:val="center"/>
          </w:tcPr>
          <w:p>
            <w:pPr>
              <w:keepNext/>
              <w:spacing w:before="20" w:after="20"/>
              <w:jc w:val="right"/>
            </w:pPr>
            <w:r>
              <w:rPr>
                <w:rFonts w:ascii="游ゴシック" w:hAnsi="游ゴシック" w:eastAsia="游ゴシック"/>
                <w:b w:val="0"/>
                <w:i w:val="0"/>
                <w:sz w:val="17"/>
              </w:rPr>
              <w:t>80％</w:t>
            </w:r>
          </w:p>
        </w:tc>
        <w:tc>
          <w:tcPr>
            <w:tcW w:type="dxa" w:w="624"/>
            <w:vAlign w:val="center"/>
          </w:tcPr>
          <w:p>
            <w:pPr>
              <w:keepNext/>
              <w:spacing w:before="20" w:after="20"/>
              <w:jc w:val="right"/>
            </w:pPr>
            <w:r>
              <w:rPr>
                <w:rFonts w:ascii="游ゴシック" w:hAnsi="游ゴシック" w:eastAsia="游ゴシック"/>
                <w:b w:val="0"/>
                <w:i w:val="0"/>
                <w:sz w:val="17"/>
              </w:rPr>
              <w:t>100％</w:t>
            </w:r>
          </w:p>
        </w:tc>
        <w:tc>
          <w:tcPr>
            <w:tcW w:type="dxa" w:w="1134"/>
            <w:vAlign w:val="center"/>
          </w:tcPr>
          <w:p>
            <w:pPr>
              <w:keepNext/>
              <w:spacing w:before="20" w:after="20"/>
            </w:pPr>
            <w:r>
              <w:rPr>
                <w:rFonts w:ascii="游ゴシック" w:hAnsi="游ゴシック" w:eastAsia="游ゴシック"/>
                <w:b w:val="0"/>
                <w:i w:val="0"/>
                <w:sz w:val="17"/>
              </w:rPr>
              <w:t>期限超過（1か月）</w:t>
            </w:r>
          </w:p>
        </w:tc>
        <w:tc>
          <w:tcPr>
            <w:tcW w:type="dxa" w:w="3231"/>
            <w:vAlign w:val="center"/>
          </w:tcPr>
          <w:p>
            <w:pPr>
              <w:keepNext/>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障がい計画の遅れ8件は、すべて町からの3点に連なっています。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町・国・県の回答を待たずに進められる作業は40件、合計110.5時間（1日8.0時間として約13.8日）です。</w:t>
      </w:r>
      <w:r>
        <w:rPr>
          <w:rFonts w:ascii="游ゴシック" w:hAnsi="游ゴシック" w:eastAsia="游ゴシック"/>
          <w:b/>
          <w:i w:val="0"/>
          <w:sz w:val="21"/>
        </w:rPr>
        <w:t>うち39件・104.5時間は令和8年10月15日までに済みました。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T40</w:t>
            </w:r>
          </w:p>
        </w:tc>
        <w:tc>
          <w:tcPr>
            <w:tcW w:type="dxa" w:w="2154"/>
            <w:vAlign w:val="center"/>
          </w:tcPr>
          <w:p>
            <w:pPr>
              <w:spacing w:before="20" w:after="20"/>
            </w:pPr>
            <w:r>
              <w:rPr>
                <w:rFonts w:ascii="游ゴシック" w:hAnsi="游ゴシック" w:eastAsia="游ゴシック"/>
                <w:b w:val="0"/>
                <w:i w:val="0"/>
                <w:sz w:val="17"/>
              </w:rPr>
              <w:t>地域生活支援事業の実績が0であることの洗い出し</w:t>
            </w:r>
          </w:p>
        </w:tc>
        <w:tc>
          <w:tcPr>
            <w:tcW w:type="dxa" w:w="3969"/>
            <w:vAlign w:val="center"/>
          </w:tcPr>
          <w:p>
            <w:pPr>
              <w:spacing w:before="20" w:after="20"/>
            </w:pPr>
            <w:r>
              <w:rPr>
                <w:rFonts w:ascii="游ゴシック" w:hAnsi="游ゴシック" w:eastAsia="游ゴシック"/>
                <w:b/>
                <w:i w:val="0"/>
                <w:sz w:val="17"/>
              </w:rPr>
              <w:t>前回計画の第3部第8章に11事業が載っている。</w:t>
            </w:r>
            <w:r>
              <w:rPr>
                <w:rFonts w:ascii="游ゴシック" w:hAnsi="游ゴシック" w:eastAsia="游ゴシック"/>
                <w:b/>
                <w:i w:val="0"/>
                <w:sz w:val="17"/>
              </w:rPr>
              <w:t>読めば、どの事業が0のままなのかがすぐ分かる。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T39</w:t>
            </w:r>
          </w:p>
        </w:tc>
        <w:tc>
          <w:tcPr>
            <w:tcW w:type="dxa" w:w="2154"/>
            <w:vAlign w:val="center"/>
          </w:tcPr>
          <w:p>
            <w:pPr>
              <w:spacing w:before="20" w:after="20"/>
            </w:pPr>
            <w:r>
              <w:rPr>
                <w:rFonts w:ascii="游ゴシック" w:hAnsi="游ゴシック" w:eastAsia="游ゴシック"/>
                <w:b w:val="0"/>
                <w:i w:val="0"/>
                <w:sz w:val="17"/>
              </w:rPr>
              <w:t>前回計画の成果目標の検証（成り立たない目標の洗い出し）</w:t>
            </w:r>
          </w:p>
        </w:tc>
        <w:tc>
          <w:tcPr>
            <w:tcW w:type="dxa" w:w="3969"/>
            <w:vAlign w:val="center"/>
          </w:tcPr>
          <w:p>
            <w:pPr>
              <w:spacing w:before="20" w:after="20"/>
            </w:pPr>
            <w:r>
              <w:rPr>
                <w:rFonts w:ascii="游ゴシック" w:hAnsi="游ゴシック" w:eastAsia="游ゴシック"/>
                <w:b/>
                <w:i w:val="0"/>
                <w:sz w:val="17"/>
              </w:rPr>
              <w:t>前回計画は手元にあり、目標値と基準人数が同じ頁に載っている。</w:t>
            </w:r>
            <w:r>
              <w:rPr>
                <w:rFonts w:ascii="游ゴシック" w:hAnsi="游ゴシック" w:eastAsia="游ゴシック"/>
                <w:b/>
                <w:i w:val="0"/>
                <w:sz w:val="17"/>
              </w:rPr>
              <w:t>割り算をするだけで成り立つかどうかが分かる。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T38</w:t>
            </w:r>
          </w:p>
        </w:tc>
        <w:tc>
          <w:tcPr>
            <w:tcW w:type="dxa" w:w="2154"/>
            <w:vAlign w:val="center"/>
          </w:tcPr>
          <w:p>
            <w:pPr>
              <w:spacing w:before="20" w:after="20"/>
            </w:pPr>
            <w:r>
              <w:rPr>
                <w:rFonts w:ascii="游ゴシック" w:hAnsi="游ゴシック" w:eastAsia="游ゴシック"/>
                <w:b w:val="0"/>
                <w:i w:val="0"/>
                <w:sz w:val="17"/>
              </w:rPr>
              <w:t>障がい計画　見込量の置き方を「人数×1人あたり日数」に具体化</w:t>
            </w:r>
          </w:p>
        </w:tc>
        <w:tc>
          <w:tcPr>
            <w:tcW w:type="dxa" w:w="3969"/>
            <w:vAlign w:val="center"/>
          </w:tcPr>
          <w:p>
            <w:pPr>
              <w:spacing w:before="20" w:after="20"/>
            </w:pPr>
            <w:r>
              <w:rPr>
                <w:rFonts w:ascii="游ゴシック" w:hAnsi="游ゴシック" w:eastAsia="游ゴシック"/>
                <w:b/>
                <w:i w:val="0"/>
                <w:sz w:val="17"/>
              </w:rPr>
              <w:t>T37で読み取った第6期の実績から、1人あたり日数が算出できる。</w:t>
            </w:r>
            <w:r>
              <w:rPr>
                <w:rFonts w:ascii="游ゴシック" w:hAnsi="游ゴシック" w:eastAsia="游ゴシック"/>
                <w:b/>
                <w:i w:val="0"/>
                <w:sz w:val="17"/>
              </w:rPr>
              <w:t>量が見込みを下回った原因が人数ではなく日数にあることが分かるため、置き方をここで決められる。</w:t>
            </w:r>
            <w:r>
              <w:rPr>
                <w:rFonts w:ascii="游ゴシック" w:hAnsi="游ゴシック" w:eastAsia="游ゴシック"/>
                <w:b w:val="0"/>
                <w:i w:val="0"/>
                <w:sz w:val="17"/>
              </w:rPr>
              <w:t>値そのものは実績の受領を待つ</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T37</w:t>
            </w:r>
          </w:p>
        </w:tc>
        <w:tc>
          <w:tcPr>
            <w:tcW w:type="dxa" w:w="2154"/>
            <w:vAlign w:val="center"/>
          </w:tcPr>
          <w:p>
            <w:pPr>
              <w:spacing w:before="20" w:after="20"/>
            </w:pPr>
            <w:r>
              <w:rPr>
                <w:rFonts w:ascii="游ゴシック" w:hAnsi="游ゴシック" w:eastAsia="游ゴシック"/>
                <w:b w:val="0"/>
                <w:i w:val="0"/>
                <w:sz w:val="17"/>
              </w:rPr>
              <w:t>前回計画から第6期の実績・第7期の見込量を読み取り、素案に反映</w:t>
            </w:r>
          </w:p>
        </w:tc>
        <w:tc>
          <w:tcPr>
            <w:tcW w:type="dxa" w:w="3969"/>
            <w:vAlign w:val="center"/>
          </w:tcPr>
          <w:p>
            <w:pPr>
              <w:spacing w:before="20" w:after="20"/>
            </w:pPr>
            <w:r>
              <w:rPr>
                <w:rFonts w:ascii="游ゴシック" w:hAnsi="游ゴシック" w:eastAsia="游ゴシック"/>
                <w:b/>
                <w:i w:val="0"/>
                <w:sz w:val="17"/>
              </w:rPr>
              <w:t>前回計画（128頁）は手元にあり、サービスごとの見込量と実績を載せている。町にお尋ねするまでもない。</w:t>
            </w:r>
            <w:r>
              <w:rPr>
                <w:rFonts w:ascii="游ゴシック" w:hAnsi="游ゴシック" w:eastAsia="游ゴシック"/>
                <w:b/>
                <w:i w:val="0"/>
                <w:sz w:val="17"/>
              </w:rPr>
              <w:t>書き写さず、原本のPDFを毎回読む形にすれば、原本から離れない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T36</w:t>
            </w:r>
          </w:p>
        </w:tc>
        <w:tc>
          <w:tcPr>
            <w:tcW w:type="dxa" w:w="2154"/>
            <w:vAlign w:val="center"/>
          </w:tcPr>
          <w:p>
            <w:pPr>
              <w:spacing w:before="20" w:after="20"/>
            </w:pPr>
            <w:r>
              <w:rPr>
                <w:rFonts w:ascii="游ゴシック" w:hAnsi="游ゴシック" w:eastAsia="游ゴシック"/>
                <w:b w:val="0"/>
                <w:i w:val="0"/>
                <w:sz w:val="17"/>
              </w:rPr>
              <w:t>前回計画から手帳所持者数の推移を取り出し、素案と図に反映</w:t>
            </w:r>
          </w:p>
        </w:tc>
        <w:tc>
          <w:tcPr>
            <w:tcW w:type="dxa" w:w="3969"/>
            <w:vAlign w:val="center"/>
          </w:tcPr>
          <w:p>
            <w:pPr>
              <w:spacing w:before="20" w:after="20"/>
            </w:pPr>
            <w:r>
              <w:rPr>
                <w:rFonts w:ascii="游ゴシック" w:hAnsi="游ゴシック" w:eastAsia="游ゴシック"/>
                <w:b/>
                <w:i w:val="0"/>
                <w:sz w:val="17"/>
              </w:rPr>
              <w:t>前回計画（令和6年3月）が令和元年〜令和5年の5か年を図に載せている。</w:t>
            </w:r>
            <w:r>
              <w:rPr>
                <w:rFonts w:ascii="游ゴシック" w:hAnsi="游ゴシック" w:eastAsia="游ゴシック"/>
                <w:b w:val="0"/>
                <w:i w:val="0"/>
                <w:sz w:val="17"/>
              </w:rPr>
              <w:t>手元の原本から取り出せるため、町の回答を待たずに進む。</w:t>
            </w:r>
            <w:r>
              <w:rPr>
                <w:rFonts w:ascii="游ゴシック" w:hAnsi="游ゴシック" w:eastAsia="游ゴシック"/>
                <w:b/>
                <w:i w:val="0"/>
                <w:sz w:val="17"/>
              </w:rPr>
              <w:t>内訳の和が前回計画の「計」と一致することを自己点検で確かめる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w:t>
            </w:r>
            <w:r>
              <w:rPr>
                <w:rFonts w:ascii="游ゴシック" w:hAnsi="游ゴシック" w:eastAsia="游ゴシック"/>
                <w:b/>
                <w:i w:val="0"/>
                <w:sz w:val="17"/>
              </w:rPr>
              <w:t>図を1点置いた（T36）</w:t>
            </w:r>
            <w:r>
              <w:rPr>
                <w:rFonts w:ascii="游ゴシック" w:hAnsi="游ゴシック" w:eastAsia="游ゴシック"/>
                <w:b w:val="0"/>
                <w:i w:val="0"/>
                <w:sz w:val="17"/>
              </w:rPr>
              <w:t>。</w:t>
            </w:r>
            <w:r>
              <w:rPr>
                <w:rFonts w:ascii="游ゴシック" w:hAnsi="游ゴシック" w:eastAsia="游ゴシック"/>
                <w:b/>
                <w:i w:val="0"/>
                <w:sz w:val="17"/>
              </w:rPr>
              <w:t>サービス実績の図は、実績を受領してから作る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次に着手するもの（10月16日（金））</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