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pPr>
      <w:r>
        <w:rPr>
          <w:rFonts w:ascii="游ゴシック" w:cs="游ゴシック" w:eastAsia="游ゴシック" w:hAnsi="游ゴシック"/>
          <w:b/>
          <w:bCs/>
          <w:color w:val="2E75B6"/>
          <w:sz w:val="22"/>
          <w:szCs w:val="22"/>
        </w:rPr>
        <w:t xml:space="preserve">供給の継続性を把握する手だて</w:t>
      </w:r>
    </w:p>
    <w:p>
      <w:pPr>
        <w:spacing w:after="120" w:line="300"/>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第10期で基金をほぼ使い切るため、第11期には取崩しの余地が残りません。国の推計ワークシートは、第11期の保険料基準額を月額7,301.29円（第10期比＋1,788円・＋32.4%）と出力しています。第10期を下げるほど第11期の上がり幅が大きくなる関係にあり、取崩額をいくらにするかは世代間の負担の公平に関わる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回策定委員会には、取崩額を変えた場合の第10期と第11期の保険料の対比をお示しします。国の推計ワークシートどおりの40,000千円、第9期と同程度の24,000千円、取崩しなしの3案で組みます。取崩額を減らせば第10期は上がりますが、第11期の上がり幅は和らぎ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国の推計ワークシートの40,000千円（残高42,128千円の94.9%）を本体とし、24,000千円・取崩なしを併記。取崩しを減らすと第10期は上がるが第11期の＋32.4%は和らぐ</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村の決定（世代間の負担の公平に関わる）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1-5、1-8の4、2-1、施策2-1、施策2-6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2026-10-08T12:37:05.535Z</dcterms:created>
  <dcterms:modified xsi:type="dcterms:W3CDTF">2026-10-08T12:37:05.536Z</dcterms:modified>
</cp:coreProperties>
</file>

<file path=docProps/custom.xml><?xml version="1.0" encoding="utf-8"?>
<Properties xmlns="http://schemas.openxmlformats.org/officeDocument/2006/custom-properties" xmlns:vt="http://schemas.openxmlformats.org/officeDocument/2006/docPropsVTypes"/>
</file>