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ゴシック" w:cs="游ゴシック" w:eastAsia="游ゴシック" w:hAnsi="游ゴシック"/>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ゴシック" w:cs="游ゴシック" w:eastAsia="游ゴシック" w:hAnsi="游ゴシック"/>
          <w:sz w:val="21"/>
          <w:szCs w:val="21"/>
        </w:rPr>
        <w:t xml:space="preserve"/>
      </w:r>
    </w:p>
    <w:p>
      <w:pPr>
        <w:spacing w:after="180" w:line="300"/>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680"/>
        <w:gridCol w:w="1498"/>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約127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117頁のうち、5-12「据え置いている項目の一覧」と編集注記（⚙）は数値が確定した段階で削除するため、成果品としての計画書は約108頁になる見込みである（仕様書は約100頁）。</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pPr>
      <w:r>
        <w:rPr>
          <w:rFonts w:ascii="游ゴシック" w:cs="游ゴシック" w:eastAsia="游ゴシック" w:hAnsi="游ゴシック"/>
          <w:b/>
          <w:bCs/>
          <w:color w:val="2E75B6"/>
          <w:sz w:val="22"/>
          <w:szCs w:val="22"/>
        </w:rPr>
        <w:t xml:space="preserve">3か年の推移を項目ごとにみると</w:t>
      </w:r>
    </w:p>
    <w:p>
      <w:pPr>
        <w:spacing w:after="120" w:line="300"/>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pPr>
      <w:r>
        <w:rPr>
          <w:rFonts w:ascii="游ゴシック" w:cs="游ゴシック" w:eastAsia="游ゴシック" w:hAnsi="游ゴシック"/>
          <w:b/>
          <w:bCs/>
          <w:color w:val="2E75B6"/>
          <w:sz w:val="22"/>
          <w:szCs w:val="22"/>
        </w:rPr>
        <w:t xml:space="preserve">目標別にみると</w:t>
      </w:r>
    </w:p>
    <w:p>
      <w:pPr>
        <w:spacing w:after="120" w:line="300"/>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pPr>
      <w:r>
        <w:rPr>
          <w:rFonts w:ascii="游ゴシック" w:cs="游ゴシック" w:eastAsia="游ゴシック" w:hAnsi="游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pPr>
      <w:r>
        <w:rPr>
          <w:rFonts w:ascii="游ゴシック" w:cs="游ゴシック" w:eastAsia="游ゴシック" w:hAnsi="游ゴシック"/>
          <w:b/>
          <w:bCs/>
          <w:color w:val="2E75B6"/>
          <w:sz w:val="22"/>
          <w:szCs w:val="22"/>
        </w:rPr>
        <w:t xml:space="preserve">地区別の回収状況</w:t>
      </w:r>
    </w:p>
    <w:p>
      <w:pPr>
        <w:spacing w:after="120" w:line="300"/>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pPr>
      <w:r>
        <w:rPr>
          <w:rFonts w:ascii="游ゴシック" w:cs="游ゴシック" w:eastAsia="游ゴシック" w:hAnsi="游ゴシック"/>
          <w:b/>
          <w:bCs/>
          <w:color w:val="2E75B6"/>
          <w:sz w:val="22"/>
          <w:szCs w:val="22"/>
        </w:rPr>
        <w:t xml:space="preserve">回答方法別の状況（第10期の新規）</w:t>
      </w:r>
    </w:p>
    <w:p>
      <w:pPr>
        <w:spacing w:after="120" w:line="300"/>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基本目標5を新設する理由</w:t>
      </w:r>
    </w:p>
    <w:p>
      <w:pPr>
        <w:spacing w:after="120" w:line="300"/>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段階2の変更について</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pPr>
      <w:r>
        <w:rPr>
          <w:rFonts w:ascii="游ゴシック" w:cs="游ゴシック" w:eastAsia="游ゴシック" w:hAnsi="游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pPr>
      <w:r>
        <w:rPr>
          <w:rFonts w:ascii="游ゴシック" w:cs="游ゴシック" w:eastAsia="游ゴシック" w:hAnsi="游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936"/>
        <w:gridCol w:w="936"/>
        <w:gridCol w:w="936"/>
        <w:gridCol w:w="1030"/>
        <w:gridCol w:w="1030"/>
        <w:gridCol w:w="1030"/>
        <w:gridCol w:w="121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令和12年度</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602</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391</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pPr>
      <w:r>
        <w:rPr>
          <w:rFonts w:ascii="游ゴシック" w:cs="游ゴシック" w:eastAsia="游ゴシック" w:hAnsi="游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498"/>
        <w:gridCol w:w="1498"/>
        <w:gridCol w:w="2246"/>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994人</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配布データをそのまま用いる場合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　配布データの伸び率で水準を実績に合わせる（当方の算定）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pPr>
      <w:r>
        <w:rPr>
          <w:rFonts w:ascii="游ゴシック" w:cs="游ゴシック" w:eastAsia="游ゴシック" w:hAnsi="游ゴシック"/>
          <w:b/>
          <w:bCs/>
          <w:color w:val="2E75B6"/>
          <w:sz w:val="22"/>
          <w:szCs w:val="22"/>
        </w:rPr>
        <w:t xml:space="preserve">要支援・要介護認定者数の見通し</w:t>
      </w:r>
    </w:p>
    <w:p>
      <w:pPr>
        <w:spacing w:after="120" w:line="300"/>
      </w:pPr>
      <w:r>
        <w:rPr>
          <w:rFonts w:ascii="游ゴシック" w:cs="游ゴシック" w:eastAsia="游ゴシック" w:hAnsi="游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1217"/>
        <w:gridCol w:w="1403"/>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211人</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210人</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4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pPr>
      <w:r>
        <w:rPr>
          <w:rFonts w:ascii="游ゴシック" w:cs="游ゴシック" w:eastAsia="游ゴシック" w:hAnsi="游ゴシック"/>
          <w:b/>
          <w:bCs/>
          <w:color w:val="2E75B6"/>
          <w:sz w:val="22"/>
          <w:szCs w:val="22"/>
        </w:rPr>
        <w:t xml:space="preserve">当方の算定との突合</w:t>
      </w:r>
    </w:p>
    <w:p>
      <w:pPr>
        <w:spacing w:after="120" w:line="300"/>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123"/>
        <w:gridCol w:w="1123"/>
        <w:gridCol w:w="1123"/>
        <w:gridCol w:w="1030"/>
        <w:gridCol w:w="1966"/>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3か年計</w:t>
            </w:r>
          </w:p>
        </w:tc>
        <w:tc>
          <w:tcPr>
            <w:tcW w:type="dxa" w:w="196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629</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ご議論いただきたい論点：当方の検算をどう扱うか</w:t>
      </w:r>
    </w:p>
    <w:p>
      <w:pPr>
        <w:spacing w:after="120" w:line="300"/>
      </w:pPr>
      <w:r>
        <w:rPr>
          <w:rFonts w:ascii="游ゴシック" w:cs="游ゴシック" w:eastAsia="游ゴシック" w:hAnsi="游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pPr>
      <w:r>
        <w:rPr>
          <w:rFonts w:ascii="游ゴシック" w:cs="游ゴシック" w:eastAsia="游ゴシック" w:hAnsi="游ゴシック"/>
          <w:b/>
          <w:bCs/>
          <w:color w:val="2E75B6"/>
          <w:sz w:val="22"/>
          <w:szCs w:val="22"/>
        </w:rPr>
        <w:t xml:space="preserve">実績のないサービスの扱い</w:t>
      </w:r>
    </w:p>
    <w:p>
      <w:pPr>
        <w:spacing w:after="120" w:line="300"/>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単価が趨勢的に上がっていること</w:t>
      </w:r>
    </w:p>
    <w:p>
      <w:pPr>
        <w:spacing w:after="120" w:line="300"/>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推計そのものに誤差があること</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pPr>
      <w:r>
        <w:rPr>
          <w:rFonts w:ascii="游ゴシック" w:cs="游ゴシック" w:eastAsia="游ゴシック" w:hAnsi="游ゴシック"/>
          <w:b/>
          <w:bCs/>
          <w:color w:val="2E75B6"/>
          <w:sz w:val="22"/>
          <w:szCs w:val="22"/>
        </w:rPr>
        <w:t xml:space="preserve">④ 自己点検の結果</w:t>
      </w:r>
    </w:p>
    <w:p>
      <w:pPr>
        <w:spacing w:after="120" w:line="300"/>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ゴシック" w:cs="游ゴシック" w:eastAsia="游ゴシック" w:hAnsi="游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pPr>
      <w:r>
        <w:rPr>
          <w:rFonts w:ascii="游ゴシック" w:cs="游ゴシック" w:eastAsia="游ゴシック" w:hAnsi="游ゴシック"/>
          <w:b/>
          <w:bCs/>
          <w:color w:val="2E75B6"/>
          <w:sz w:val="22"/>
          <w:szCs w:val="22"/>
        </w:rPr>
        <w:t xml:space="preserve">(1) 給付費は10年間ほぼ横ばいです</w:t>
      </w:r>
    </w:p>
    <w:p>
      <w:pPr>
        <w:spacing w:after="120" w:line="300"/>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pPr>
      <w:r>
        <w:rPr>
          <w:rFonts w:ascii="游ゴシック" w:cs="游ゴシック" w:eastAsia="游ゴシック" w:hAnsi="游ゴシック"/>
          <w:b/>
          <w:bCs/>
          <w:color w:val="2E75B6"/>
          <w:sz w:val="22"/>
          <w:szCs w:val="22"/>
        </w:rPr>
        <w:t xml:space="preserve">(3) 令和9年度は介護報酬の改定年です</w:t>
      </w:r>
    </w:p>
    <w:p>
      <w:pPr>
        <w:spacing w:after="120" w:line="300"/>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どの前提がどれだけ効くか</w:t>
      </w:r>
    </w:p>
    <w:p>
      <w:pPr>
        <w:spacing w:after="120" w:line="300"/>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保険料の複数案（案）</w:t>
      </w:r>
    </w:p>
    <w:p>
      <w:pPr>
        <w:spacing w:after="120" w:line="300"/>
      </w:pPr>
      <w:r>
        <w:rPr>
          <w:rFonts w:ascii="游ゴシック" w:cs="游ゴシック" w:eastAsia="游ゴシック" w:hAnsi="游ゴシック"/>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keepNext/>
        <w:keepLines/>
        <w:spacing w:after="100" w:line="300"/>
      </w:pPr>
      <w:r>
        <w:rPr>
          <w:rFonts w:ascii="游ゴシック" w:cs="游ゴシック" w:eastAsia="游ゴシック" w:hAnsi="游ゴシック"/>
          <w:b/>
          <w:bCs/>
          <w:color w:val="2E75B6"/>
          <w:sz w:val="22"/>
          <w:szCs w:val="22"/>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370"/>
        <w:gridCol w:w="2621"/>
        <w:gridCol w:w="2620"/>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pPr>
      <w:r>
        <w:rPr>
          <w:rFonts w:ascii="游ゴシック" w:cs="游ゴシック" w:eastAsia="游ゴシック" w:hAnsi="游ゴシック"/>
          <w:b/>
          <w:bCs/>
          <w:color w:val="2E75B6"/>
          <w:sz w:val="22"/>
          <w:szCs w:val="22"/>
        </w:rPr>
        <w:t xml:space="preserve">国の推計ワークシートの前提と、第11期への跳ね返り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872"/>
        <w:gridCol w:w="2340"/>
        <w:gridCol w:w="2340"/>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取崩額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第10期の基準月額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第11期の基準月額</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国の推計ワークシートどおり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40,000,000円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7,301.29円</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取崩しなし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6,610.55円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【要算定】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の推計ワークシートは、残高42,128,183円のうち40,000,000円（94.9%）を取り崩す前提で第10期を5,513.72円としています。第10期で基金をほぼ使い切るため、第11期には取崩しの余地が残らず、第11期は7,301.29円（＋32.4%）に跳ね上がります。第10期を下げるほど第11期の上がり幅が大きくなる関係であり、取崩額をいくらにするかは世代間の負担の公平に関わるご判断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取崩額を24,000千円・取崩しなしとした場合の第11期の基準月額は、国の推計ワークシートを村にご操作いただくか、当方が5式により試算して併記する。上の12のパターンと3案は、当方がワークシートの提供を受ける前に算定したもの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keepNext/>
        <w:keepLines/>
        <w:spacing w:after="100" w:line="300"/>
      </w:pPr>
      <w:r>
        <w:rPr>
          <w:rFonts w:ascii="游ゴシック" w:cs="游ゴシック" w:eastAsia="游ゴシック" w:hAnsi="游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以下は当方がワークシートの提供を受ける前に算定したものであ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keepNext/>
        <w:keepLines/>
        <w:spacing w:after="100" w:line="300"/>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pPr>
      <w:r>
        <w:rPr>
          <w:rFonts w:ascii="游ゴシック" w:cs="游ゴシック" w:eastAsia="游ゴシック" w:hAnsi="游ゴシック"/>
          <w:b/>
          <w:bCs/>
          <w:color w:val="2E75B6"/>
          <w:sz w:val="22"/>
          <w:szCs w:val="22"/>
        </w:rPr>
        <w:t xml:space="preserve">残りの61点はどうなるのか</w:t>
      </w:r>
    </w:p>
    <w:p>
      <w:pPr>
        <w:spacing w:after="120" w:line="300"/>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調査の集計が遅れた場合</w:t>
      </w:r>
    </w:p>
    <w:p>
      <w:pPr>
        <w:spacing w:after="120" w:line="300"/>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2026-10-08T12:37:08.265Z</dcterms:created>
  <dcterms:modified xsi:type="dcterms:W3CDTF">2026-10-08T12:37:08.266Z</dcterms:modified>
</cp:coreProperties>
</file>

<file path=docProps/custom.xml><?xml version="1.0" encoding="utf-8"?>
<Properties xmlns="http://schemas.openxmlformats.org/officeDocument/2006/custom-properties" xmlns:vt="http://schemas.openxmlformats.org/officeDocument/2006/docPropsVTypes"/>
</file>