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r>
        <w:rPr>
          <w:rFonts w:ascii="BIZ UDPゴシック" w:hAnsi="BIZ UDPゴシック" w:eastAsia="BIZ UDPゴシック"/>
          <w:b w:val="0"/>
          <w:sz w:val="21"/>
        </w:rPr>
        <w:t>■　評価の体制</w:t>
      </w:r>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r>
        <w:rPr>
          <w:rFonts w:ascii="BIZ UDPゴシック" w:hAnsi="BIZ UDPゴシック" w:eastAsia="BIZ UDPゴシック"/>
          <w:b w:val="0"/>
          <w:sz w:val="21"/>
        </w:rPr>
        <w:t>■　評価のスケジュール</w:t>
      </w:r>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r>
        <w:rPr>
          <w:rFonts w:ascii="BIZ UDPゴシック" w:hAnsi="BIZ UDPゴシック" w:eastAsia="BIZ UDPゴシック"/>
          <w:b w:val="0"/>
          <w:sz w:val="21"/>
        </w:rPr>
        <w:t>■　目標等の管理シート</w:t>
      </w:r>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r>
        <w:rPr>
          <w:rFonts w:ascii="BIZ UDPゴシック" w:hAnsi="BIZ UDPゴシック" w:eastAsia="BIZ UDPゴシック"/>
          <w:b w:val="0"/>
          <w:sz w:val="21"/>
        </w:rPr>
        <w:t>■　結果の公表</w:t>
      </w:r>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pStyle w:val="3"/>
      </w:pPr>
      <w:r>
        <w:rPr>
          <w:rFonts w:ascii="BIZ UDPゴシック" w:hAnsi="BIZ UDPゴシック" w:eastAsia="BIZ UDPゴシック"/>
          <w:b w:val="0"/>
          <w:sz w:val="21"/>
        </w:rPr>
        <w:t>■　国が示す推計方法との関係</w:t>
      </w:r>
    </w:p>
    <w:p>
      <w:pPr>
        <w:ind w:firstLine="210"/>
      </w:pPr>
      <w:r>
        <w:rPr>
          <w:rFonts w:ascii="BIZ UDPゴシック" w:hAnsi="BIZ UDPゴシック" w:eastAsia="BIZ UDPゴシック"/>
          <w:b w:val="0"/>
          <w:sz w:val="21"/>
        </w:rPr>
        <w:t>「障害福祉計画策定に係る実態調査及びPDCAサイクルに関するマニュアル」（令和８年８月）は、実績値に基づくサービス見込量の推計方法として次の２つを示しています。本計画がこれらではなく個別積上げ方式を採る理由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個別積上げ方式（本計画で採用）</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採用する。基本指針 別表第一が勘案を求める「現に利用している者の数」「障がい者等のニーズ」「平均的な一人当たり利用量」をそのまま積み上げる方法であり、利用者が各サービス数人規模の本村の実情に最も適合する。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r>
        <w:rPr>
          <w:rFonts w:ascii="BIZ UDPゴシック" w:hAnsi="BIZ UDPゴシック" w:eastAsia="BIZ UDPゴシック"/>
          <w:b w:val="0"/>
          <w:sz w:val="21"/>
        </w:rPr>
        <w:t>■　障害支援区分別人数による見込量の検証</w:t>
      </w:r>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r>
        <w:rPr>
          <w:rFonts w:ascii="BIZ UDPゴシック" w:hAnsi="BIZ UDPゴシック" w:eastAsia="BIZ UDPゴシック"/>
          <w:b w:val="0"/>
          <w:sz w:val="21"/>
        </w:rPr>
        <w:t>■　事業ごとの実施に関する考え方</w:t>
      </w:r>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r>
        <w:rPr>
          <w:rFonts w:ascii="BIZ UDPゴシック" w:hAnsi="BIZ UDPゴシック" w:eastAsia="BIZ UDPゴシック"/>
          <w:b w:val="0"/>
          <w:sz w:val="21"/>
        </w:rPr>
        <w:t>10　活動指標</w:t>
      </w:r>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r>
        <w:rPr>
          <w:rFonts w:ascii="BIZ UDPゴシック" w:hAnsi="BIZ UDPゴシック" w:eastAsia="BIZ UDPゴシック"/>
          <w:b w:val="0"/>
          <w:sz w:val="21"/>
        </w:rPr>
        <w:t>■　サービスの見込量に相当する活動指標</w:t>
      </w:r>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r>
        <w:rPr>
          <w:rFonts w:ascii="BIZ UDPゴシック" w:hAnsi="BIZ UDPゴシック" w:eastAsia="BIZ UDPゴシック"/>
          <w:b w:val="0"/>
          <w:sz w:val="21"/>
        </w:rPr>
        <w:t>■　その他の活動指標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r>
        <w:rPr>
          <w:rFonts w:ascii="BIZ UDPゴシック" w:hAnsi="BIZ UDPゴシック" w:eastAsia="BIZ UDPゴシック"/>
          <w:b w:val="0"/>
          <w:sz w:val="21"/>
        </w:rPr>
        <w:t>■　本村では設定しない活動指標</w:t>
      </w:r>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11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12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