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令和8年10月21日</w:t>
      </w:r>
    </w:p>
    <w:p>
      <w:pPr>
        <w:spacing w:after="80" w:line="300" w:lineRule="exact"/>
        <w:jc w:val="center"/>
      </w:pPr>
      <w:r>
        <w:rPr>
          <w:rFonts w:ascii="游ゴシック" w:cs="游ゴシック" w:eastAsia="游ゴシック" w:hAnsi="游ゴシック"/>
          <w:color w:val="595959"/>
          <w:sz w:val="21"/>
          <w:szCs w:val="21"/>
        </w:rPr>
        <w:t xml:space="preserve">北塩原村　第10期高齢者福祉計画・第10期介護保険事業計画</w:t>
      </w:r>
    </w:p>
    <w:p>
      <w:pPr>
        <w:spacing w:after="60" w:line="300" w:lineRule="exact"/>
        <w:jc w:val="center"/>
      </w:pPr>
      <w:r>
        <w:rPr>
          <w:rFonts w:ascii="游ゴシック" w:cs="游ゴシック" w:eastAsia="游ゴシック" w:hAnsi="游ゴシック"/>
          <w:b/>
          <w:bCs/>
          <w:color w:val="1F3864"/>
          <w:sz w:val="30"/>
          <w:szCs w:val="30"/>
        </w:rPr>
        <w:t xml:space="preserve">保険者機能強化推進交付金等</w:t>
      </w:r>
    </w:p>
    <w:p>
      <w:pPr>
        <w:spacing w:after="320" w:line="300" w:lineRule="exact"/>
        <w:jc w:val="center"/>
      </w:pPr>
      <w:r>
        <w:rPr>
          <w:rFonts w:ascii="游ゴシック" w:cs="游ゴシック" w:eastAsia="游ゴシック" w:hAnsi="游ゴシック"/>
          <w:b/>
          <w:bCs/>
          <w:color w:val="1F3864"/>
          <w:sz w:val="30"/>
          <w:szCs w:val="30"/>
        </w:rPr>
        <w:t xml:space="preserve">獲得状況の整理と取得の優先順位</w:t>
      </w:r>
    </w:p>
    <w:p>
      <w:pPr>
        <w:keepNext/>
        <w:spacing w:after="160" w:before="300" w:line="320" w:lineRule="exact"/>
      </w:pPr>
      <w:r>
        <w:rPr>
          <w:rFonts w:ascii="游ゴシック" w:cs="游ゴシック" w:eastAsia="游ゴシック" w:hAnsi="游ゴシック"/>
          <w:b/>
          <w:bCs/>
          <w:color w:val="1F3864"/>
          <w:sz w:val="26"/>
          <w:szCs w:val="26"/>
        </w:rPr>
        <w:t xml:space="preserve">1　要点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4867"/>
      </w:tblGrid>
      <w:tr>
        <w:trPr>
          <w:tblHeader/>
        </w:trPr>
        <w:tc>
          <w:tcPr>
            <w:tcW w:type="dxa" w:w="205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434"/>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規模</w:t>
            </w:r>
          </w:p>
        </w:tc>
        <w:tc>
          <w:tcPr>
            <w:tcW w:type="dxa" w:w="4867"/>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効き方</w:t>
            </w:r>
          </w:p>
        </w:tc>
      </w:tr>
      <w:tr>
        <w:tc>
          <w:tcPr>
            <w:tcW w:type="dxa" w:w="2059"/>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いまの得点</w:t>
            </w:r>
          </w:p>
        </w:tc>
        <w:tc>
          <w:tcPr>
            <w:tcW w:type="dxa" w:w="2434"/>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447点／800点（得点率 55.9％）</w:t>
            </w:r>
          </w:p>
        </w:tc>
        <w:tc>
          <w:tcPr>
            <w:tcW w:type="dxa" w:w="4867"/>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県内34位／59市町村　全国1005位／1741市町村</w:t>
            </w:r>
          </w:p>
        </w:tc>
      </w:tr>
      <w:tr>
        <w:tc>
          <w:tcPr>
            <w:tcW w:type="dxa" w:w="205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県・全国との差</w:t>
            </w:r>
          </w:p>
        </w:tc>
        <w:tc>
          <w:tcPr>
            <w:tcW w:type="dxa" w:w="243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県平均 456.4点　全国平均 455.1点</w:t>
            </w:r>
          </w:p>
        </w:tc>
        <w:tc>
          <w:tcPr>
            <w:tcW w:type="dxa" w:w="4867"/>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県平均を 9.4点、全国平均を 8.1点下回る</w:t>
            </w:r>
          </w:p>
        </w:tc>
      </w:tr>
      <w:tr>
        <w:tc>
          <w:tcPr>
            <w:tcW w:type="dxa" w:w="2059"/>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計画への記載で取れる</w:t>
            </w:r>
          </w:p>
        </w:tc>
        <w:tc>
          <w:tcPr>
            <w:tcW w:type="dxa" w:w="2434"/>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11項目 62点</w:t>
            </w:r>
          </w:p>
        </w:tc>
        <w:tc>
          <w:tcPr>
            <w:tcW w:type="dxa" w:w="4867"/>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取得すると 509点。県平均・全国平均を上回る</w:t>
            </w:r>
          </w:p>
        </w:tc>
      </w:tr>
      <w:tr>
        <w:tc>
          <w:tcPr>
            <w:tcW w:type="dxa" w:w="2059"/>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本業務の実施で取れる</w:t>
            </w:r>
          </w:p>
        </w:tc>
        <w:tc>
          <w:tcPr>
            <w:tcW w:type="dxa" w:w="2434"/>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3項目 9点</w:t>
            </w:r>
          </w:p>
        </w:tc>
        <w:tc>
          <w:tcPr>
            <w:tcW w:type="dxa" w:w="4867"/>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あわせて 518点</w:t>
            </w:r>
          </w:p>
        </w:tc>
      </w:tr>
      <w:tr>
        <w:tc>
          <w:tcPr>
            <w:tcW w:type="dxa" w:w="205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事業の実施が前提</w:t>
            </w:r>
          </w:p>
        </w:tc>
        <w:tc>
          <w:tcPr>
            <w:tcW w:type="dxa" w:w="243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15項目 39点</w:t>
            </w:r>
          </w:p>
        </w:tc>
        <w:tc>
          <w:tcPr>
            <w:tcW w:type="dxa" w:w="4867"/>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すべて行えば 557点。村のご判断を要する</w:t>
            </w:r>
          </w:p>
        </w:tc>
      </w:tr>
      <w:tr>
        <w:tc>
          <w:tcPr>
            <w:tcW w:type="dxa" w:w="205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本村では動かせない</w:t>
            </w:r>
          </w:p>
        </w:tc>
        <w:tc>
          <w:tcPr>
            <w:tcW w:type="dxa" w:w="243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47項目 233点</w:t>
            </w:r>
          </w:p>
        </w:tc>
        <w:tc>
          <w:tcPr>
            <w:tcW w:type="dxa" w:w="4867"/>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国の統計から自動算定される成果指標群など</w:t>
            </w:r>
          </w:p>
        </w:tc>
      </w:tr>
      <w:tr>
        <w:tc>
          <w:tcPr>
            <w:tcW w:type="dxa" w:w="205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判定が済んでいない</w:t>
            </w:r>
          </w:p>
        </w:tc>
        <w:tc>
          <w:tcPr>
            <w:tcW w:type="dxa" w:w="243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63項目 139点</w:t>
            </w:r>
          </w:p>
        </w:tc>
        <w:tc>
          <w:tcPr>
            <w:tcW w:type="dxa" w:w="4867"/>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うち県内の4分の1以上が取得しているものが 12項目 22点</w:t>
            </w:r>
          </w:p>
        </w:tc>
      </w:tr>
    </w:tbl>
    <w:p>
      <w:pPr>
        <w:spacing w:after="100" w:line="300" w:lineRule="exact"/>
      </w:pPr>
      <w:r>
        <w:rPr>
          <w:rFonts w:ascii="游明朝" w:cs="游明朝" w:eastAsia="游明朝" w:hAnsi="游明朝"/>
          <w:sz w:val="21"/>
          <w:szCs w:val="21"/>
        </w:rPr>
        <w:t xml:space="preserve"/>
      </w:r>
    </w:p>
    <w:p>
      <w:pPr>
        <w:spacing w:after="140" w:line="300" w:lineRule="exact"/>
      </w:pPr>
      <w:r>
        <w:rPr>
          <w:rFonts w:ascii="游明朝" w:cs="游明朝" w:eastAsia="游明朝" w:hAnsi="游明朝"/>
          <w:sz w:val="21"/>
          <w:szCs w:val="21"/>
        </w:rPr>
        <w:t xml:space="preserve">最大の弱点は支援交付金の目標Ⅱ（認知症総合支援）です。32点で県内57位／59市町村にあり、県平均を22.5点下回ります。一方、推進交付金の目標Ⅰ（持続可能な地域のあるべき姿）は76点で県内7位にあり、県平均を12.7点上回ります。</w:t>
      </w:r>
    </w:p>
    <w:p>
      <w:pPr>
        <w:spacing w:after="120" w:line="280" w:lineRule="exact"/>
      </w:pPr>
      <w:r>
        <w:rPr>
          <w:rFonts w:ascii="游ゴシック" w:cs="游ゴシック" w:eastAsia="游ゴシック" w:hAnsi="游ゴシック"/>
          <w:color w:val="595959"/>
          <w:sz w:val="19"/>
          <w:szCs w:val="19"/>
        </w:rPr>
        <w:t xml:space="preserve">※ 本書の点はすべて令和8年度の評価指標によるものです。評価指標は毎年度改定されるため、第10期（令和9年度から令和11年度まで）に適用される指標は未公表です。</w:t>
      </w:r>
    </w:p>
    <w:p>
      <w:pPr>
        <w:spacing w:after="120" w:line="280" w:lineRule="exact"/>
      </w:pPr>
      <w:r>
        <w:rPr>
          <w:rFonts w:ascii="游ゴシック" w:cs="游ゴシック" w:eastAsia="游ゴシック" w:hAnsi="游ゴシック"/>
          <w:color w:val="595959"/>
          <w:sz w:val="19"/>
          <w:szCs w:val="19"/>
        </w:rPr>
        <w:t xml:space="preserve">※ 県内の値は福島県59市町村の集計です。本書は団体名と個別の団体の数値を載せていません。</w:t>
      </w:r>
    </w:p>
    <w:p>
      <w:pPr>
        <w:spacing w:after="120" w:line="280" w:lineRule="exact"/>
      </w:pPr>
      <w:r>
        <w:rPr>
          <w:rFonts w:ascii="游ゴシック" w:cs="游ゴシック" w:eastAsia="游ゴシック" w:hAnsi="游ゴシック"/>
          <w:color w:val="595959"/>
          <w:sz w:val="19"/>
          <w:szCs w:val="19"/>
        </w:rPr>
        <w:t xml:space="preserve">※ 出どころ：令和8年度保険者機能強化推進交付金及び介護保険保険者努力支援交付金に係る該当状況調査票集計表（市町村分・厚生労働省）および同評価指標（市町村分）。本村は通し番号380です。</w:t>
      </w:r>
    </w:p>
    <w:p>
      <w:r>
        <w:br w:type="page"/>
      </w:r>
    </w:p>
    <w:p>
      <w:pPr>
        <w:keepNext/>
        <w:spacing w:after="160" w:before="300" w:line="320" w:lineRule="exact"/>
      </w:pPr>
      <w:r>
        <w:rPr>
          <w:rFonts w:ascii="游ゴシック" w:cs="游ゴシック" w:eastAsia="游ゴシック" w:hAnsi="游ゴシック"/>
          <w:b/>
          <w:bCs/>
          <w:color w:val="1F3864"/>
          <w:sz w:val="26"/>
          <w:szCs w:val="26"/>
        </w:rPr>
        <w:t xml:space="preserve">2　令和8年度の獲得状況</w:t>
      </w:r>
    </w:p>
    <w:p>
      <w:pPr>
        <w:spacing w:after="140" w:line="300" w:lineRule="exact"/>
      </w:pPr>
      <w:r>
        <w:rPr>
          <w:rFonts w:ascii="游明朝" w:cs="游明朝" w:eastAsia="游明朝" w:hAnsi="游明朝"/>
          <w:sz w:val="21"/>
          <w:szCs w:val="21"/>
        </w:rPr>
        <w:t xml:space="preserve">保険者機能強化推進交付金 229点／400点、介護保険保険者努力支援交付金 218点／400点、あわせて 447点／800点です。</w:t>
      </w:r>
    </w:p>
    <w:p>
      <w:pPr>
        <w:keepNext/>
        <w:spacing w:after="120" w:before="200" w:line="300" w:lineRule="exact"/>
      </w:pPr>
      <w:r>
        <w:rPr>
          <w:rFonts w:ascii="游ゴシック" w:cs="游ゴシック" w:eastAsia="游ゴシック" w:hAnsi="游ゴシック"/>
          <w:b/>
          <w:bCs/>
          <w:color w:val="2E75B6"/>
          <w:sz w:val="22"/>
          <w:szCs w:val="22"/>
        </w:rPr>
        <w:t xml:space="preserve">(1) 目標別の得点と県内・全国の位置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2902"/>
        <w:gridCol w:w="655"/>
        <w:gridCol w:w="655"/>
        <w:gridCol w:w="749"/>
        <w:gridCol w:w="749"/>
        <w:gridCol w:w="749"/>
        <w:gridCol w:w="749"/>
        <w:gridCol w:w="1310"/>
      </w:tblGrid>
      <w:tr>
        <w:trPr>
          <w:tblHeader/>
        </w:trPr>
        <w:tc>
          <w:tcPr>
            <w:tcW w:type="dxa" w:w="842"/>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目標</w:t>
            </w:r>
          </w:p>
        </w:tc>
        <w:tc>
          <w:tcPr>
            <w:tcW w:type="dxa" w:w="2902"/>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目標名</w:t>
            </w:r>
          </w:p>
        </w:tc>
        <w:tc>
          <w:tcPr>
            <w:tcW w:type="dxa" w:w="655"/>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本村</w:t>
            </w:r>
          </w:p>
        </w:tc>
        <w:tc>
          <w:tcPr>
            <w:tcW w:type="dxa" w:w="655"/>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満点</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県平均</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県中央</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県最高</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県最低</w:t>
            </w:r>
          </w:p>
        </w:tc>
        <w:tc>
          <w:tcPr>
            <w:tcW w:type="dxa" w:w="1310"/>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県内順位</w:t>
            </w:r>
          </w:p>
        </w:tc>
      </w:tr>
      <w:tr>
        <w:tc>
          <w:tcPr>
            <w:tcW w:type="dxa" w:w="842"/>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推進Ⅰ</w:t>
            </w:r>
          </w:p>
        </w:tc>
        <w:tc>
          <w:tcPr>
            <w:tcW w:type="dxa" w:w="2902"/>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持続可能な地域のあるべき姿をかたちにする</w:t>
            </w:r>
          </w:p>
        </w:tc>
        <w:tc>
          <w:tcPr>
            <w:tcW w:type="dxa" w:w="655"/>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76</w:t>
            </w:r>
          </w:p>
        </w:tc>
        <w:tc>
          <w:tcPr>
            <w:tcW w:type="dxa" w:w="655"/>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63.3</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67</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85</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31</w:t>
            </w:r>
          </w:p>
        </w:tc>
        <w:tc>
          <w:tcPr>
            <w:tcW w:type="dxa" w:w="1310"/>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7／59</w:t>
            </w:r>
          </w:p>
        </w:tc>
      </w:tr>
      <w:tr>
        <w:tc>
          <w:tcPr>
            <w:tcW w:type="dxa" w:w="84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290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公正・公平な給付を行う体制を構築する</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62</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70.8</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76</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22</w:t>
            </w:r>
          </w:p>
        </w:tc>
        <w:tc>
          <w:tcPr>
            <w:tcW w:type="dxa" w:w="1310"/>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42／59</w:t>
            </w:r>
          </w:p>
        </w:tc>
      </w:tr>
      <w:tr>
        <w:tc>
          <w:tcPr>
            <w:tcW w:type="dxa" w:w="84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推進Ⅲ</w:t>
            </w:r>
          </w:p>
        </w:tc>
        <w:tc>
          <w:tcPr>
            <w:tcW w:type="dxa" w:w="290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介護人材の確保その他のサービス提供基盤の整備を推進する</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46</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49.7</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47</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22</w:t>
            </w:r>
          </w:p>
        </w:tc>
        <w:tc>
          <w:tcPr>
            <w:tcW w:type="dxa" w:w="1310"/>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31／59</w:t>
            </w:r>
          </w:p>
        </w:tc>
      </w:tr>
      <w:tr>
        <w:tc>
          <w:tcPr>
            <w:tcW w:type="dxa" w:w="84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290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高齢者が可能な限り自立した日常生活を営む（成果指標群）</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46.4</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w:t>
            </w:r>
          </w:p>
        </w:tc>
        <w:tc>
          <w:tcPr>
            <w:tcW w:type="dxa" w:w="1310"/>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30／59</w:t>
            </w:r>
          </w:p>
        </w:tc>
      </w:tr>
      <w:tr>
        <w:tc>
          <w:tcPr>
            <w:tcW w:type="dxa" w:w="842"/>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2902"/>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介護予防／日常生活支援を推進する</w:t>
            </w:r>
          </w:p>
        </w:tc>
        <w:tc>
          <w:tcPr>
            <w:tcW w:type="dxa" w:w="655"/>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71</w:t>
            </w:r>
          </w:p>
        </w:tc>
        <w:tc>
          <w:tcPr>
            <w:tcW w:type="dxa" w:w="655"/>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60.6</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60</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81</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26</w:t>
            </w:r>
          </w:p>
        </w:tc>
        <w:tc>
          <w:tcPr>
            <w:tcW w:type="dxa" w:w="1310"/>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17／59</w:t>
            </w:r>
          </w:p>
        </w:tc>
      </w:tr>
      <w:tr>
        <w:tc>
          <w:tcPr>
            <w:tcW w:type="dxa" w:w="84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290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認知症総合支援を推進する</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32</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54.5</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55</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78</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23</w:t>
            </w:r>
          </w:p>
        </w:tc>
        <w:tc>
          <w:tcPr>
            <w:tcW w:type="dxa" w:w="1310"/>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57／59</w:t>
            </w:r>
          </w:p>
        </w:tc>
      </w:tr>
      <w:tr>
        <w:tc>
          <w:tcPr>
            <w:tcW w:type="dxa" w:w="842"/>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2902"/>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在宅医療・在宅介護連携の体制を構築する</w:t>
            </w:r>
          </w:p>
        </w:tc>
        <w:tc>
          <w:tcPr>
            <w:tcW w:type="dxa" w:w="655"/>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70</w:t>
            </w:r>
          </w:p>
        </w:tc>
        <w:tc>
          <w:tcPr>
            <w:tcW w:type="dxa" w:w="655"/>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64.7</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64</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94</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27</w:t>
            </w:r>
          </w:p>
        </w:tc>
        <w:tc>
          <w:tcPr>
            <w:tcW w:type="dxa" w:w="1310"/>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24／59</w:t>
            </w:r>
          </w:p>
        </w:tc>
      </w:tr>
      <w:tr>
        <w:tc>
          <w:tcPr>
            <w:tcW w:type="dxa" w:w="84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支援Ⅳ</w:t>
            </w:r>
          </w:p>
        </w:tc>
        <w:tc>
          <w:tcPr>
            <w:tcW w:type="dxa" w:w="2902"/>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高齢者が可能な限り自立した日常生活を営む（成果指標群）</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655"/>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46.4</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90</w:t>
            </w:r>
          </w:p>
        </w:tc>
        <w:tc>
          <w:tcPr>
            <w:tcW w:type="dxa" w:w="749"/>
            <w:shd w:fill="FDE9E9"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w:t>
            </w:r>
          </w:p>
        </w:tc>
        <w:tc>
          <w:tcPr>
            <w:tcW w:type="dxa" w:w="1310"/>
            <w:shd w:fill="FDE9E9"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30／59</w:t>
            </w:r>
          </w:p>
        </w:tc>
      </w:tr>
    </w:tbl>
    <w:p>
      <w:pPr>
        <w:spacing w:after="100" w:line="300" w:lineRule="exact"/>
      </w:pPr>
      <w:r>
        <w:rPr>
          <w:rFonts w:ascii="游明朝" w:cs="游明朝" w:eastAsia="游明朝" w:hAnsi="游明朝"/>
          <w:sz w:val="21"/>
          <w:szCs w:val="21"/>
        </w:rPr>
        <w:t xml:space="preserve"/>
      </w:r>
    </w:p>
    <w:p>
      <w:pPr>
        <w:spacing w:after="120" w:line="280" w:lineRule="exact"/>
      </w:pPr>
      <w:r>
        <w:rPr>
          <w:rFonts w:ascii="游ゴシック" w:cs="游ゴシック" w:eastAsia="游ゴシック" w:hAnsi="游ゴシック"/>
          <w:color w:val="595959"/>
          <w:sz w:val="19"/>
          <w:szCs w:val="19"/>
        </w:rPr>
        <w:t xml:space="preserve">※ 薄い赤は県平均を下回る目標、薄い緑は上回る目標です。</w:t>
      </w:r>
    </w:p>
    <w:p>
      <w:pPr>
        <w:spacing w:after="120" w:line="280" w:lineRule="exact"/>
      </w:pPr>
      <w:r>
        <w:rPr>
          <w:rFonts w:ascii="游ゴシック" w:cs="游ゴシック" w:eastAsia="游ゴシック" w:hAnsi="游ゴシック"/>
          <w:color w:val="595959"/>
          <w:sz w:val="19"/>
          <w:szCs w:val="19"/>
        </w:rPr>
        <w:t xml:space="preserve">※ 目標Ⅳ（成果指標群）は推進交付金・支援交付金に同一の指標が置かれており、得点も同じです。片方が動けばもう片方も同じだけ動きます。</w:t>
      </w:r>
    </w:p>
    <w:p>
      <w:pPr>
        <w:keepNext/>
        <w:spacing w:after="120" w:before="200" w:line="300" w:lineRule="exact"/>
      </w:pPr>
      <w:r>
        <w:rPr>
          <w:rFonts w:ascii="游ゴシック" w:cs="游ゴシック" w:eastAsia="游ゴシック" w:hAnsi="游ゴシック"/>
          <w:b/>
          <w:bCs/>
          <w:color w:val="2E75B6"/>
          <w:sz w:val="22"/>
          <w:szCs w:val="22"/>
        </w:rPr>
        <w:t xml:space="preserve">(2) 条件の近い団体との比較</w:t>
      </w:r>
    </w:p>
    <w:p>
      <w:pPr>
        <w:spacing w:after="140" w:line="300" w:lineRule="exact"/>
      </w:pPr>
      <w:r>
        <w:rPr>
          <w:rFonts w:ascii="游明朝" w:cs="游明朝" w:eastAsia="游明朝" w:hAnsi="游明朝"/>
          <w:sz w:val="21"/>
          <w:szCs w:val="21"/>
        </w:rPr>
        <w:t xml:space="preserve">得点は保険者の規模と強く相関します。本村は第1号被保険者1,011人で「3千人未満」の区分にあたり、過疎地域にも該当します。全国平均との比較だけでは本村の位置を低く見せることになるため、条件の近い団体の平均も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498"/>
        <w:gridCol w:w="1685"/>
        <w:gridCol w:w="2433"/>
      </w:tblGrid>
      <w:tr>
        <w:trPr>
          <w:tblHeader/>
        </w:trPr>
        <w:tc>
          <w:tcPr>
            <w:tcW w:type="dxa" w:w="3744"/>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比較の相手</w:t>
            </w:r>
          </w:p>
        </w:tc>
        <w:tc>
          <w:tcPr>
            <w:tcW w:type="dxa" w:w="1498"/>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団体数</w:t>
            </w:r>
          </w:p>
        </w:tc>
        <w:tc>
          <w:tcPr>
            <w:tcW w:type="dxa" w:w="1685"/>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平均</w:t>
            </w:r>
          </w:p>
        </w:tc>
        <w:tc>
          <w:tcPr>
            <w:tcW w:type="dxa" w:w="2433"/>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本村447点との差</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全国</w:t>
            </w:r>
          </w:p>
        </w:tc>
        <w:tc>
          <w:tcPr>
            <w:tcW w:type="dxa" w:w="1498"/>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1741団体</w:t>
            </w:r>
          </w:p>
        </w:tc>
        <w:tc>
          <w:tcPr>
            <w:tcW w:type="dxa" w:w="1685"/>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455.1点</w:t>
            </w:r>
          </w:p>
        </w:tc>
        <w:tc>
          <w:tcPr>
            <w:tcW w:type="dxa" w:w="2433"/>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▲8.1点</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過疎地域に該当する団体</w:t>
            </w:r>
          </w:p>
        </w:tc>
        <w:tc>
          <w:tcPr>
            <w:tcW w:type="dxa" w:w="1498"/>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885団体</w:t>
            </w:r>
          </w:p>
        </w:tc>
        <w:tc>
          <w:tcPr>
            <w:tcW w:type="dxa" w:w="1685"/>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437.4点</w:t>
            </w:r>
          </w:p>
        </w:tc>
        <w:tc>
          <w:tcPr>
            <w:tcW w:type="dxa" w:w="2433"/>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＋9.6点</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同規模（3千人未満）</w:t>
            </w:r>
          </w:p>
        </w:tc>
        <w:tc>
          <w:tcPr>
            <w:tcW w:type="dxa" w:w="1498"/>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451団体</w:t>
            </w:r>
          </w:p>
        </w:tc>
        <w:tc>
          <w:tcPr>
            <w:tcW w:type="dxa" w:w="1685"/>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407.6点</w:t>
            </w:r>
          </w:p>
        </w:tc>
        <w:tc>
          <w:tcPr>
            <w:tcW w:type="dxa" w:w="2433"/>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＋39.4点</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同規模かつ過疎地域</w:t>
            </w:r>
          </w:p>
        </w:tc>
        <w:tc>
          <w:tcPr>
            <w:tcW w:type="dxa" w:w="1498"/>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355団体</w:t>
            </w:r>
          </w:p>
        </w:tc>
        <w:tc>
          <w:tcPr>
            <w:tcW w:type="dxa" w:w="1685"/>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406.9点</w:t>
            </w:r>
          </w:p>
        </w:tc>
        <w:tc>
          <w:tcPr>
            <w:tcW w:type="dxa" w:w="2433"/>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＋40.1点</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18"/>
        <w:gridCol w:w="2246"/>
        <w:gridCol w:w="2996"/>
      </w:tblGrid>
      <w:tr>
        <w:trPr>
          <w:tblHeader/>
        </w:trPr>
        <w:tc>
          <w:tcPr>
            <w:tcW w:type="dxa" w:w="4118"/>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第1号被保険者数の区分</w:t>
            </w:r>
          </w:p>
        </w:tc>
        <w:tc>
          <w:tcPr>
            <w:tcW w:type="dxa" w:w="224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団体数</w:t>
            </w:r>
          </w:p>
        </w:tc>
        <w:tc>
          <w:tcPr>
            <w:tcW w:type="dxa" w:w="299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平均</w:t>
            </w:r>
          </w:p>
        </w:tc>
      </w:tr>
      <w:tr>
        <w:tc>
          <w:tcPr>
            <w:tcW w:type="dxa" w:w="411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3千人未満</w:t>
            </w:r>
          </w:p>
        </w:tc>
        <w:tc>
          <w:tcPr>
            <w:tcW w:type="dxa" w:w="224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451団体</w:t>
            </w:r>
          </w:p>
        </w:tc>
        <w:tc>
          <w:tcPr>
            <w:tcW w:type="dxa" w:w="299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407.6点</w:t>
            </w:r>
          </w:p>
        </w:tc>
      </w:tr>
      <w:tr>
        <w:tc>
          <w:tcPr>
            <w:tcW w:type="dxa" w:w="411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3千〜1万人未満</w:t>
            </w:r>
          </w:p>
        </w:tc>
        <w:tc>
          <w:tcPr>
            <w:tcW w:type="dxa" w:w="224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535団体</w:t>
            </w:r>
          </w:p>
        </w:tc>
        <w:tc>
          <w:tcPr>
            <w:tcW w:type="dxa" w:w="299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448.8点</w:t>
            </w:r>
          </w:p>
        </w:tc>
      </w:tr>
      <w:tr>
        <w:tc>
          <w:tcPr>
            <w:tcW w:type="dxa" w:w="411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1万〜5万人未満</w:t>
            </w:r>
          </w:p>
        </w:tc>
        <w:tc>
          <w:tcPr>
            <w:tcW w:type="dxa" w:w="224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608団体</w:t>
            </w:r>
          </w:p>
        </w:tc>
        <w:tc>
          <w:tcPr>
            <w:tcW w:type="dxa" w:w="299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481.1点</w:t>
            </w:r>
          </w:p>
        </w:tc>
      </w:tr>
      <w:tr>
        <w:tc>
          <w:tcPr>
            <w:tcW w:type="dxa" w:w="411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5万〜10万人未満</w:t>
            </w:r>
          </w:p>
        </w:tc>
        <w:tc>
          <w:tcPr>
            <w:tcW w:type="dxa" w:w="224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83団体</w:t>
            </w:r>
          </w:p>
        </w:tc>
        <w:tc>
          <w:tcPr>
            <w:tcW w:type="dxa" w:w="299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508点</w:t>
            </w:r>
          </w:p>
        </w:tc>
      </w:tr>
      <w:tr>
        <w:tc>
          <w:tcPr>
            <w:tcW w:type="dxa" w:w="411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10万人以上</w:t>
            </w:r>
          </w:p>
        </w:tc>
        <w:tc>
          <w:tcPr>
            <w:tcW w:type="dxa" w:w="224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64団体</w:t>
            </w:r>
          </w:p>
        </w:tc>
        <w:tc>
          <w:tcPr>
            <w:tcW w:type="dxa" w:w="299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527.8点</w:t>
            </w:r>
          </w:p>
        </w:tc>
      </w:tr>
    </w:tbl>
    <w:p>
      <w:pPr>
        <w:spacing w:after="140" w:line="300" w:lineRule="exact"/>
      </w:pPr>
      <w:r>
        <w:rPr>
          <w:rFonts w:ascii="游明朝" w:cs="游明朝" w:eastAsia="游明朝" w:hAnsi="游明朝"/>
          <w:sz w:val="21"/>
          <w:szCs w:val="21"/>
        </w:rPr>
        <w:t xml:space="preserve">全国平均と比べると下回りますが、同規模の団体の平均とは39.4点、同規模かつ過疎地域の団体の平均とは40.1点上回ります。本村の取組の水準は、条件の近い団体の中では高い位置にあります。ただし未取得の項目があることは変わりません。</w:t>
      </w:r>
    </w:p>
    <w:p>
      <w:pPr>
        <w:spacing w:after="180" w:line="300" w:lineRule="exact"/>
      </w:pPr>
      <w:r>
        <w:rPr>
          <w:rFonts w:ascii="游明朝" w:cs="游明朝" w:eastAsia="游明朝" w:hAnsi="游明朝"/>
          <w:sz w:val="21"/>
          <w:szCs w:val="21"/>
        </w:rPr>
        <w:t xml:space="preserve">示しているのは団体数と平均という集計値のみで、個別の団体名と得点は掲げていません。区分は令和7年3月31日現在の第1号被保険者数、過疎地域該当は一部過疎を含む令和5年4月1日時点によります。</w:t>
      </w:r>
    </w:p>
    <w:p>
      <w:pPr>
        <w:keepNext/>
        <w:spacing w:after="120" w:before="200" w:line="300" w:lineRule="exact"/>
      </w:pPr>
      <w:r>
        <w:rPr>
          <w:rFonts w:ascii="游ゴシック" w:cs="游ゴシック" w:eastAsia="游ゴシック" w:hAnsi="游ゴシック"/>
          <w:b/>
          <w:bCs/>
          <w:color w:val="2E75B6"/>
          <w:sz w:val="22"/>
          <w:szCs w:val="22"/>
        </w:rPr>
        <w:t xml:space="preserve">(3) 3か年の推移</w:t>
      </w:r>
    </w:p>
    <w:p>
      <w:pPr>
        <w:spacing w:after="120" w:line="300" w:lineRule="exact"/>
      </w:pPr>
      <w:r>
        <w:rPr>
          <w:rFonts w:ascii="游明朝" w:cs="游明朝" w:eastAsia="游明朝" w:hAnsi="游明朝"/>
          <w:sz w:val="21"/>
          <w:szCs w:val="21"/>
        </w:rPr>
        <w:t xml:space="preserve">3か年（令和6年度から令和8年度まで）そろって比べられる項目は 284項目です。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3276"/>
      </w:tblGrid>
      <w:tr>
        <w:trPr>
          <w:tblHeader/>
        </w:trPr>
        <w:tc>
          <w:tcPr>
            <w:tcW w:type="dxa" w:w="3744"/>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340"/>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項目数</w:t>
            </w:r>
          </w:p>
        </w:tc>
        <w:tc>
          <w:tcPr>
            <w:tcW w:type="dxa" w:w="327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令和8年度の得点計</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改善</w:t>
            </w:r>
          </w:p>
        </w:tc>
        <w:tc>
          <w:tcPr>
            <w:tcW w:type="dxa" w:w="234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105項目</w:t>
            </w:r>
          </w:p>
        </w:tc>
        <w:tc>
          <w:tcPr>
            <w:tcW w:type="dxa" w:w="327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285点</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悪化</w:t>
            </w:r>
          </w:p>
        </w:tc>
        <w:tc>
          <w:tcPr>
            <w:tcW w:type="dxa" w:w="234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23項目</w:t>
            </w:r>
          </w:p>
        </w:tc>
        <w:tc>
          <w:tcPr>
            <w:tcW w:type="dxa" w:w="327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0点</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満点で維持</w:t>
            </w:r>
          </w:p>
        </w:tc>
        <w:tc>
          <w:tcPr>
            <w:tcW w:type="dxa" w:w="234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50項目</w:t>
            </w:r>
          </w:p>
        </w:tc>
        <w:tc>
          <w:tcPr>
            <w:tcW w:type="dxa" w:w="327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146点</w:t>
            </w:r>
          </w:p>
        </w:tc>
      </w:tr>
      <w:tr>
        <w:tc>
          <w:tcPr>
            <w:tcW w:type="dxa" w:w="374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3年連続0点</w:t>
            </w:r>
          </w:p>
        </w:tc>
        <w:tc>
          <w:tcPr>
            <w:tcW w:type="dxa" w:w="234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106項目</w:t>
            </w:r>
          </w:p>
        </w:tc>
        <w:tc>
          <w:tcPr>
            <w:tcW w:type="dxa" w:w="327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0点</w:t>
            </w:r>
          </w:p>
        </w:tc>
      </w:tr>
    </w:tbl>
    <w:p>
      <w:pPr>
        <w:spacing w:after="100" w:line="300" w:lineRule="exact"/>
      </w:pPr>
      <w:r>
        <w:rPr>
          <w:rFonts w:ascii="游明朝" w:cs="游明朝" w:eastAsia="游明朝" w:hAnsi="游明朝"/>
          <w:sz w:val="21"/>
          <w:szCs w:val="21"/>
        </w:rPr>
        <w:t xml:space="preserve"/>
      </w:r>
    </w:p>
    <w:p>
      <w:pPr>
        <w:spacing w:after="140" w:line="300" w:lineRule="exact"/>
      </w:pPr>
      <w:r>
        <w:rPr>
          <w:rFonts w:ascii="游明朝" w:cs="游明朝" w:eastAsia="游明朝" w:hAnsi="游明朝"/>
          <w:sz w:val="21"/>
          <w:szCs w:val="21"/>
        </w:rPr>
        <w:t xml:space="preserve">合計得点は令和6年度295点、令和7年度339点、令和8年度447点と伸びています。ただし 23項目が下がり、106項目は3年続けて0点です。</w:t>
      </w:r>
    </w:p>
    <w:p>
      <w:pPr>
        <w:keepNext/>
        <w:spacing w:after="120" w:before="200" w:line="300" w:lineRule="exact"/>
      </w:pPr>
      <w:r>
        <w:rPr>
          <w:rFonts w:ascii="游ゴシック" w:cs="游ゴシック" w:eastAsia="游ゴシック" w:hAnsi="游ゴシック"/>
          <w:b/>
          <w:bCs/>
          <w:color w:val="2E75B6"/>
          <w:sz w:val="22"/>
          <w:szCs w:val="22"/>
        </w:rPr>
        <w:t xml:space="preserve">(4) 下がった項目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936"/>
        <w:gridCol w:w="1872"/>
      </w:tblGrid>
      <w:tr>
        <w:trPr>
          <w:tblHeader/>
        </w:trPr>
        <w:tc>
          <w:tcPr>
            <w:tcW w:type="dxa" w:w="93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目標</w:t>
            </w:r>
          </w:p>
        </w:tc>
        <w:tc>
          <w:tcPr>
            <w:tcW w:type="dxa" w:w="561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指標</w:t>
            </w:r>
          </w:p>
        </w:tc>
        <w:tc>
          <w:tcPr>
            <w:tcW w:type="dxa" w:w="93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配点</w:t>
            </w:r>
          </w:p>
        </w:tc>
        <w:tc>
          <w:tcPr>
            <w:tcW w:type="dxa" w:w="1872"/>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推移</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給付費適正化事業の取組状況 / オ</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8→8→0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短期的な要介護度の変化（要介護１・２） / ア / ①</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5→5→0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短期的な要介護度の変化（要介護１・２） / ア / ②</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短期的な要介護度の変化（要介護１・２） / ア / 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 / 短期的な要介護度の変化（要介護３～５） / イ / ①</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 / 短期的な要介護度の変化（要介護３～５） / イ / ②</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 / 短期的な要介護度の変化（要介護３～５） / イ / 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 / 短期的な要介護度の変化（要介護３～５） / イ / ④</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4 / 長期的な要介護度の変化（要介護３～５） / 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5→5→0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4 / 長期的な要介護度の変化（要介護３～５） / イ</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4 / 長期的な要介護度の変化（要介護３～５） / ウ</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在宅医療・介護連携に関する課題・対応策の検討 / 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5→5→0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短期的な要介護度の変化（要介護１・２） / ア / ①</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5→5→0</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支援Ⅳ</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短期的な要介護度の変化（要介護１・２） / ア / ②</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187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5→0→0</w:t>
            </w:r>
          </w:p>
        </w:tc>
      </w:tr>
    </w:tbl>
    <w:p>
      <w:pPr>
        <w:spacing w:after="100" w:line="300" w:lineRule="exact"/>
      </w:pPr>
      <w:r>
        <w:rPr>
          <w:rFonts w:ascii="游明朝" w:cs="游明朝" w:eastAsia="游明朝" w:hAnsi="游明朝"/>
          <w:sz w:val="21"/>
          <w:szCs w:val="21"/>
        </w:rPr>
        <w:t xml:space="preserve"/>
      </w:r>
    </w:p>
    <w:p>
      <w:pPr>
        <w:spacing w:after="120" w:line="280" w:lineRule="exact"/>
      </w:pPr>
      <w:r>
        <w:rPr>
          <w:rFonts w:ascii="游ゴシック" w:cs="游ゴシック" w:eastAsia="游ゴシック" w:hAnsi="游ゴシック"/>
          <w:color w:val="595959"/>
          <w:sz w:val="19"/>
          <w:szCs w:val="19"/>
        </w:rPr>
        <w:t xml:space="preserve">推進目標Ⅳの11項目は、要介護度の変化（成果指標群）が国の統計から自動算定されるものです。推進目標Ⅱのオ（福祉用具購入費・住宅改修費の妥当性の検討）と支援目標Ⅲのア（在宅医療・介護連携の課題・対応策の検討）は、いずれも取組を続けることで取り戻せる項目です。</w:t>
      </w:r>
    </w:p>
    <w:p>
      <w:pPr>
        <w:keepNext/>
        <w:spacing w:after="160" w:before="300" w:line="320" w:lineRule="exact"/>
      </w:pPr>
      <w:r>
        <w:rPr>
          <w:rFonts w:ascii="游ゴシック" w:cs="游ゴシック" w:eastAsia="游ゴシック" w:hAnsi="游ゴシック"/>
          <w:b/>
          <w:bCs/>
          <w:color w:val="1F3864"/>
          <w:sz w:val="26"/>
          <w:szCs w:val="26"/>
        </w:rPr>
        <w:t xml:space="preserve">3　未取得の点の内訳</w:t>
      </w:r>
    </w:p>
    <w:p>
      <w:pPr>
        <w:spacing w:after="140" w:line="300" w:lineRule="exact"/>
      </w:pPr>
      <w:r>
        <w:rPr>
          <w:rFonts w:ascii="游明朝" w:cs="游明朝" w:eastAsia="游明朝" w:hAnsi="游明朝"/>
          <w:sz w:val="21"/>
          <w:szCs w:val="21"/>
        </w:rPr>
        <w:t xml:space="preserve">未取得の配点を合計すると 139項目 482点ですが、これは見かけの数です。実際に伸ばせるのは満点800点との差 353点までです。評価指標の枝の配点を足し上げると 929点になりますが、成果指標群のア／イなどは択一（より上位となった方で得点）であり、両方を足すと二重に数えます。差 129点は推目標Ⅳ 60点・支目標Ⅰ 9点・支目標Ⅳ 60点の超過でちょうど説明がつきます。取得の見込みで5つの段に分けました。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1404"/>
        <w:gridCol w:w="749"/>
        <w:gridCol w:w="842"/>
        <w:gridCol w:w="749"/>
        <w:gridCol w:w="936"/>
        <w:gridCol w:w="4212"/>
      </w:tblGrid>
      <w:tr>
        <w:trPr>
          <w:tblHeader/>
        </w:trPr>
        <w:tc>
          <w:tcPr>
            <w:tcW w:type="dxa" w:w="468"/>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段</w:t>
            </w:r>
          </w:p>
        </w:tc>
        <w:tc>
          <w:tcPr>
            <w:tcW w:type="dxa" w:w="1404"/>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項目数</w:t>
            </w:r>
          </w:p>
        </w:tc>
        <w:tc>
          <w:tcPr>
            <w:tcW w:type="dxa" w:w="842"/>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重複を除く</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見かけ</w:t>
            </w:r>
          </w:p>
        </w:tc>
        <w:tc>
          <w:tcPr>
            <w:tcW w:type="dxa" w:w="93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実際に伸ばせる</w:t>
            </w:r>
          </w:p>
        </w:tc>
        <w:tc>
          <w:tcPr>
            <w:tcW w:type="dxa" w:w="4212"/>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7"/>
                <w:szCs w:val="17"/>
              </w:rPr>
              <w:t xml:space="preserve">何が要るか</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Ａ</w:t>
            </w:r>
          </w:p>
        </w:tc>
        <w:tc>
          <w:tcPr>
            <w:tcW w:type="dxa" w:w="1404"/>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記載で取れる</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11項目</w:t>
            </w:r>
          </w:p>
        </w:tc>
        <w:tc>
          <w:tcPr>
            <w:tcW w:type="dxa" w:w="842"/>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11項目</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62点</w:t>
            </w:r>
          </w:p>
        </w:tc>
        <w:tc>
          <w:tcPr>
            <w:tcW w:type="dxa" w:w="936"/>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62点</w:t>
            </w:r>
          </w:p>
        </w:tc>
        <w:tc>
          <w:tcPr>
            <w:tcW w:type="dxa" w:w="4212"/>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計画への記載・要綱の整備・手順の明文化で足ります</w:t>
            </w:r>
          </w:p>
        </w:tc>
      </w:tr>
      <w:tr>
        <w:tc>
          <w:tcPr>
            <w:tcW w:type="dxa" w:w="468"/>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Ｂ</w:t>
            </w:r>
          </w:p>
        </w:tc>
        <w:tc>
          <w:tcPr>
            <w:tcW w:type="dxa" w:w="1404"/>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本業務で取れる</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3項目</w:t>
            </w:r>
          </w:p>
        </w:tc>
        <w:tc>
          <w:tcPr>
            <w:tcW w:type="dxa" w:w="842"/>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3項目</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9点</w:t>
            </w:r>
          </w:p>
        </w:tc>
        <w:tc>
          <w:tcPr>
            <w:tcW w:type="dxa" w:w="936"/>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9点</w:t>
            </w:r>
          </w:p>
        </w:tc>
        <w:tc>
          <w:tcPr>
            <w:tcW w:type="dxa" w:w="4212"/>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ニーズ調査・在宅介護実態調査・見える化分析・認知症施策推進計画の策定を行うこと自体が要件を満たします</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Ｃ</w:t>
            </w:r>
          </w:p>
        </w:tc>
        <w:tc>
          <w:tcPr>
            <w:tcW w:type="dxa" w:w="140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事業の実施が前提</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15項目</w:t>
            </w:r>
          </w:p>
        </w:tc>
        <w:tc>
          <w:tcPr>
            <w:tcW w:type="dxa" w:w="84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15項目</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39点</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39点</w:t>
            </w:r>
          </w:p>
        </w:tc>
        <w:tc>
          <w:tcPr>
            <w:tcW w:type="dxa" w:w="421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事業の実施・実績の水準・他機関との連携が前提です。村のご判断を要します</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Ｄ</w:t>
            </w:r>
          </w:p>
        </w:tc>
        <w:tc>
          <w:tcPr>
            <w:tcW w:type="dxa" w:w="140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取れない</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47項目</w:t>
            </w:r>
          </w:p>
        </w:tc>
        <w:tc>
          <w:tcPr>
            <w:tcW w:type="dxa" w:w="84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24項目</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233点</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113点</w:t>
            </w:r>
          </w:p>
        </w:tc>
        <w:tc>
          <w:tcPr>
            <w:tcW w:type="dxa" w:w="421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国の統計から自動算定される成果指標群と、他の指標の結果として決まるものです</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Ｅ</w:t>
            </w:r>
          </w:p>
        </w:tc>
        <w:tc>
          <w:tcPr>
            <w:tcW w:type="dxa" w:w="140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未判定</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63項目</w:t>
            </w:r>
          </w:p>
        </w:tc>
        <w:tc>
          <w:tcPr>
            <w:tcW w:type="dxa" w:w="84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63項目</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139点</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7"/>
                <w:szCs w:val="17"/>
              </w:rPr>
              <w:t xml:space="preserve">130点</w:t>
            </w:r>
          </w:p>
        </w:tc>
        <w:tc>
          <w:tcPr>
            <w:tcW w:type="dxa" w:w="421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7"/>
                <w:szCs w:val="17"/>
              </w:rPr>
              <w:t xml:space="preserve">個別の判定をしていません。全国の45％未満の市町村しか取得していない項目が主です</w:t>
            </w:r>
          </w:p>
        </w:tc>
      </w:tr>
    </w:tbl>
    <w:p>
      <w:pPr>
        <w:spacing w:after="140" w:line="300" w:lineRule="exact"/>
      </w:pPr>
      <w:r>
        <w:rPr>
          <w:rFonts w:ascii="游明朝" w:cs="游明朝" w:eastAsia="游明朝" w:hAnsi="游明朝"/>
          <w:sz w:val="21"/>
          <w:szCs w:val="21"/>
        </w:rPr>
        <w:t xml:space="preserve">段Ａ・Ｂ・Ｃは見かけと実際が一致します（目標ごとに積み上げても満点100点に届かないことを「6　見込める得点」で確かめています）。村にお示しする取得目標はこの3段です。</w:t>
      </w:r>
    </w:p>
    <w:p>
      <w:pPr>
        <w:spacing w:after="140" w:line="300" w:lineRule="exact"/>
      </w:pPr>
      <w:r>
        <w:rPr>
          <w:rFonts w:ascii="游明朝" w:cs="游明朝" w:eastAsia="游明朝" w:hAnsi="游明朝"/>
          <w:sz w:val="21"/>
          <w:szCs w:val="21"/>
        </w:rPr>
        <w:t xml:space="preserve">「重複を除く」は、目標Ⅳ（成果指標群）が推進交付金と介護保険保険者努力支援交付金で同一の指標であり、集計表に2度現れることによるものです。点は両交付金で別に支払われるため足して正しいのですが、取り組む対象の数としては1つです。未取得の項目は重複を含めて 139項目、重複を除くと 116項目です。</w:t>
      </w:r>
    </w:p>
    <w:p>
      <w:r>
        <w:br w:type="page"/>
      </w:r>
    </w:p>
    <w:p>
      <w:pPr>
        <w:keepNext/>
        <w:spacing w:after="160" w:before="300" w:line="320" w:lineRule="exact"/>
      </w:pPr>
      <w:r>
        <w:rPr>
          <w:rFonts w:ascii="游ゴシック" w:cs="游ゴシック" w:eastAsia="游ゴシック" w:hAnsi="游ゴシック"/>
          <w:b/>
          <w:bCs/>
          <w:color w:val="1F3864"/>
          <w:sz w:val="26"/>
          <w:szCs w:val="26"/>
        </w:rPr>
        <w:t xml:space="preserve">4　取得の優先順位</w:t>
      </w:r>
    </w:p>
    <w:p>
      <w:pPr>
        <w:spacing w:after="140" w:line="300" w:lineRule="exact"/>
      </w:pPr>
      <w:r>
        <w:rPr>
          <w:rFonts w:ascii="游明朝" w:cs="游明朝" w:eastAsia="游明朝" w:hAnsi="游明朝"/>
          <w:sz w:val="21"/>
          <w:szCs w:val="21"/>
        </w:rPr>
        <w:t xml:space="preserve">段Ａ・Ｂ・Ｃの29項目を、期待得点（配点に取得の確からしさを掛けたもの。段Ａ・Ｂは1.0、段Ｃは0.5）の大きい順に並べました。県内で取得している団体の数を併記しています。県内で多くの団体が取得している項目は、取りやすく、取れていないことの説明もつきにくい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68"/>
        <w:gridCol w:w="936"/>
        <w:gridCol w:w="4680"/>
        <w:gridCol w:w="749"/>
        <w:gridCol w:w="749"/>
        <w:gridCol w:w="1310"/>
      </w:tblGrid>
      <w:tr>
        <w:trPr>
          <w:tblHeader/>
        </w:trPr>
        <w:tc>
          <w:tcPr>
            <w:tcW w:type="dxa" w:w="468"/>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順</w:t>
            </w:r>
          </w:p>
        </w:tc>
        <w:tc>
          <w:tcPr>
            <w:tcW w:type="dxa" w:w="468"/>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段</w:t>
            </w:r>
          </w:p>
        </w:tc>
        <w:tc>
          <w:tcPr>
            <w:tcW w:type="dxa" w:w="93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目標</w:t>
            </w:r>
          </w:p>
        </w:tc>
        <w:tc>
          <w:tcPr>
            <w:tcW w:type="dxa" w:w="4680"/>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指標</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点</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期待</w:t>
            </w:r>
          </w:p>
        </w:tc>
        <w:tc>
          <w:tcPr>
            <w:tcW w:type="dxa" w:w="1310"/>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県内で取得</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給付費適正化事業の取組状況 / オ</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32／59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給付費適正化事業の取組状況 / エ</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26／59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給付費適正化事業の取組状況 / ウ</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24／59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4</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給付費適正化事業の取組状況 / ア</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54／59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推進Ⅲ</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介護人材の確保・定着の取組状況 / エ</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27／59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6</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 / 難聴高齢者の早期発見・早期介入 / ア</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47／59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7</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 / 難聴高齢者の早期発見・早期介入 / イ</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8</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在宅医療・介護連携に関する課題・対応策の検討 / ア</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29／59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9</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在宅医療・介護連携に関する課題・対応策の検討 / エ</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24／59</w:t>
            </w:r>
          </w:p>
        </w:tc>
      </w:tr>
      <w:tr>
        <w:tc>
          <w:tcPr>
            <w:tcW w:type="dxa" w:w="468"/>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10</w:t>
            </w:r>
          </w:p>
        </w:tc>
        <w:tc>
          <w:tcPr>
            <w:tcW w:type="dxa" w:w="468"/>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Ｂ</w:t>
            </w:r>
          </w:p>
        </w:tc>
        <w:tc>
          <w:tcPr>
            <w:tcW w:type="dxa" w:w="936"/>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認知症サポーター等を活用した地域支援体制の構築 / カ</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w:t>
            </w:r>
          </w:p>
        </w:tc>
        <w:tc>
          <w:tcPr>
            <w:tcW w:type="dxa" w:w="1310"/>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15／59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11</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認知症サポーター等を活用した地域支援体制の構築 / イ</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12</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推進Ⅲ</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庁内・庁外における連携体制 / エ</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34／59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13</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推進Ⅲ</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庁内・庁外における連携体制 / オ</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24／59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14</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早期診断・早期対応の体制構築 / エ</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50／59</w:t>
            </w:r>
          </w:p>
        </w:tc>
      </w:tr>
      <w:tr>
        <w:tc>
          <w:tcPr>
            <w:tcW w:type="dxa" w:w="468"/>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15</w:t>
            </w:r>
          </w:p>
        </w:tc>
        <w:tc>
          <w:tcPr>
            <w:tcW w:type="dxa" w:w="468"/>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Ｂ</w:t>
            </w:r>
          </w:p>
        </w:tc>
        <w:tc>
          <w:tcPr>
            <w:tcW w:type="dxa" w:w="936"/>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4680"/>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データを活用した課題の把握 / ウ</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w:t>
            </w:r>
          </w:p>
        </w:tc>
        <w:tc>
          <w:tcPr>
            <w:tcW w:type="dxa" w:w="1310"/>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51／59</w:t>
            </w:r>
          </w:p>
        </w:tc>
      </w:tr>
      <w:tr>
        <w:tc>
          <w:tcPr>
            <w:tcW w:type="dxa" w:w="468"/>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16</w:t>
            </w:r>
          </w:p>
        </w:tc>
        <w:tc>
          <w:tcPr>
            <w:tcW w:type="dxa" w:w="468"/>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Ｂ</w:t>
            </w:r>
          </w:p>
        </w:tc>
        <w:tc>
          <w:tcPr>
            <w:tcW w:type="dxa" w:w="936"/>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4680"/>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データを活用した課題の把握 / エ</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749"/>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w:t>
            </w:r>
          </w:p>
        </w:tc>
        <w:tc>
          <w:tcPr>
            <w:tcW w:type="dxa" w:w="1310"/>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44／59</w:t>
            </w:r>
          </w:p>
        </w:tc>
      </w:tr>
      <w:tr>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17</w:t>
            </w:r>
          </w:p>
        </w:tc>
        <w:tc>
          <w:tcPr>
            <w:tcW w:type="dxa" w:w="468"/>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w:t>
            </w:r>
          </w:p>
        </w:tc>
        <w:tc>
          <w:tcPr>
            <w:tcW w:type="dxa" w:w="936"/>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4680"/>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在宅医療・介護連携の具体的取組状況 / イ / ②</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749"/>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43／59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18</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認知症サポーター数 / ア</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37／59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19</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認知症サポーター数 / イ</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25／59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20</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3 / 認知症地域支援推進員の業務の状況 / ウ</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20／59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21</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人生の最終段階における支援の実施状況 / ア / ①</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29／59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22</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人生の最終段階における支援の実施状況 / イ / ①</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27／59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23</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人生の最終段階における支援の実施状況 / ア / ②</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21／59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24</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人生の最終段階における支援の実施状況 / イ / ②</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20／59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25</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6 / 心身・認知機能維持・改善者の割合 / ア</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0.5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49／59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26</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7 / 多様なサービスの活用推進 / イ</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0.5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27</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7 / 多様なサービスの活用推進 / ウ</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0.5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43／59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28</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7 / 多様なサービスの活用推進 / エ</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0.5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27／59</w:t>
            </w:r>
          </w:p>
        </w:tc>
      </w:tr>
      <w:tr>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29</w:t>
            </w:r>
          </w:p>
        </w:tc>
        <w:tc>
          <w:tcPr>
            <w:tcW w:type="dxa" w:w="468"/>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w:t>
            </w:r>
          </w:p>
        </w:tc>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4680"/>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地域包括支援センター事業評価の達成状況 / イ / ②</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0.5</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21／59</w:t>
            </w:r>
          </w:p>
        </w:tc>
      </w:tr>
    </w:tbl>
    <w:p>
      <w:pPr>
        <w:spacing w:after="100" w:line="300" w:lineRule="exact"/>
      </w:pPr>
      <w:r>
        <w:rPr>
          <w:rFonts w:ascii="游明朝" w:cs="游明朝" w:eastAsia="游明朝" w:hAnsi="游明朝"/>
          <w:sz w:val="21"/>
          <w:szCs w:val="21"/>
        </w:rPr>
        <w:t xml:space="preserve"/>
      </w:r>
    </w:p>
    <w:p>
      <w:pPr>
        <w:spacing w:after="120" w:line="280" w:lineRule="exact"/>
      </w:pPr>
      <w:r>
        <w:rPr>
          <w:rFonts w:ascii="游ゴシック" w:cs="游ゴシック" w:eastAsia="游ゴシック" w:hAnsi="游ゴシック"/>
          <w:color w:val="595959"/>
          <w:sz w:val="19"/>
          <w:szCs w:val="19"/>
        </w:rPr>
        <w:t xml:space="preserve">※ 黄色は段Ａ（記載で取れる）、緑は段Ｂ（本業務で取れる）です。</w:t>
      </w:r>
    </w:p>
    <w:p>
      <w:r>
        <w:br w:type="page"/>
      </w:r>
    </w:p>
    <w:p>
      <w:pPr>
        <w:keepNext/>
        <w:spacing w:after="160" w:before="300" w:line="320" w:lineRule="exact"/>
      </w:pPr>
      <w:r>
        <w:rPr>
          <w:rFonts w:ascii="游ゴシック" w:cs="游ゴシック" w:eastAsia="游ゴシック" w:hAnsi="游ゴシック"/>
          <w:b/>
          <w:bCs/>
          <w:color w:val="1F3864"/>
          <w:sz w:val="26"/>
          <w:szCs w:val="26"/>
        </w:rPr>
        <w:t xml:space="preserve">5　第1順位群　記載と本業務で取れる13項目65点</w:t>
      </w:r>
    </w:p>
    <w:p>
      <w:pPr>
        <w:spacing w:after="140" w:line="300" w:lineRule="exact"/>
      </w:pPr>
      <w:r>
        <w:rPr>
          <w:rFonts w:ascii="游明朝" w:cs="游明朝" w:eastAsia="游明朝" w:hAnsi="游明朝"/>
          <w:sz w:val="21"/>
          <w:szCs w:val="21"/>
        </w:rPr>
        <w:t xml:space="preserve">段Ａ・Ｂの13項目は、新たな施設や大きな予算を要しません。何をすれば取れるかと、本計画のどこで扱っているかを示します。</w:t>
      </w:r>
    </w:p>
    <w:p>
      <w:pPr>
        <w:keepNext/>
        <w:spacing w:after="60" w:before="180" w:line="280" w:lineRule="exact"/>
      </w:pPr>
      <w:r>
        <w:rPr>
          <w:rFonts w:ascii="游ゴシック" w:cs="游ゴシック" w:eastAsia="游ゴシック" w:hAnsi="游ゴシック"/>
          <w:b/>
          <w:bCs/>
          <w:color w:val="1F3864"/>
          <w:sz w:val="20"/>
          <w:szCs w:val="20"/>
        </w:rPr>
        <w:t xml:space="preserve">1　推進Ⅱ　2 / 給付費適正化事業の取組状況 / オ</w:t>
      </w:r>
      <w:r>
        <w:rPr>
          <w:rFonts w:ascii="游ゴシック" w:cs="游ゴシック" w:eastAsia="游ゴシック" w:hAnsi="游ゴシック"/>
          <w:color w:val="595959"/>
          <w:sz w:val="18"/>
          <w:szCs w:val="18"/>
        </w:rPr>
        <w:t xml:space="preserve">　（8点・県内32／59団体が取得）</w:t>
      </w:r>
    </w:p>
    <w:p>
      <w:pPr>
        <w:spacing w:after="40" w:line="300" w:lineRule="exact"/>
      </w:pPr>
      <w:r>
        <w:rPr>
          <w:rFonts w:ascii="游明朝" w:cs="游明朝" w:eastAsia="游明朝" w:hAnsi="游明朝"/>
          <w:sz w:val="20"/>
          <w:szCs w:val="20"/>
        </w:rPr>
        <w:t xml:space="preserve">要ること：福祉用具購入費・住宅改修費の妥当性の検討。建築専門職・福祉住環境コーディネーター2級以上も可</w:t>
      </w:r>
    </w:p>
    <w:p>
      <w:pPr>
        <w:spacing w:after="60" w:line="300" w:lineRule="exact"/>
      </w:pPr>
      <w:r>
        <w:rPr>
          <w:rFonts w:ascii="游ゴシック" w:cs="游ゴシック" w:eastAsia="游ゴシック" w:hAnsi="游ゴシック"/>
          <w:color w:val="595959"/>
          <w:sz w:val="20"/>
          <w:szCs w:val="20"/>
        </w:rPr>
        <w:t xml:space="preserve">本計画での扱い：5-8(2)・施策3-5</w:t>
      </w:r>
    </w:p>
    <w:p>
      <w:pPr>
        <w:keepNext/>
        <w:spacing w:after="60" w:before="180" w:line="280" w:lineRule="exact"/>
      </w:pPr>
      <w:r>
        <w:rPr>
          <w:rFonts w:ascii="游ゴシック" w:cs="游ゴシック" w:eastAsia="游ゴシック" w:hAnsi="游ゴシック"/>
          <w:b/>
          <w:bCs/>
          <w:color w:val="1F3864"/>
          <w:sz w:val="20"/>
          <w:szCs w:val="20"/>
        </w:rPr>
        <w:t xml:space="preserve">2　推進Ⅱ　2 / 給付費適正化事業の取組状況 / エ</w:t>
      </w:r>
      <w:r>
        <w:rPr>
          <w:rFonts w:ascii="游ゴシック" w:cs="游ゴシック" w:eastAsia="游ゴシック" w:hAnsi="游ゴシック"/>
          <w:color w:val="595959"/>
          <w:sz w:val="18"/>
          <w:szCs w:val="18"/>
        </w:rPr>
        <w:t xml:space="preserve">　（8点・県内26／59団体が取得）</w:t>
      </w:r>
    </w:p>
    <w:p>
      <w:pPr>
        <w:spacing w:after="40" w:line="300" w:lineRule="exact"/>
      </w:pPr>
      <w:r>
        <w:rPr>
          <w:rFonts w:ascii="游明朝" w:cs="游明朝" w:eastAsia="游明朝" w:hAnsi="游明朝"/>
          <w:sz w:val="20"/>
          <w:szCs w:val="20"/>
        </w:rPr>
        <w:t xml:space="preserve">要ること：福祉用具貸与後のリハビリテーション専門職等による点検。広域団体との連携でも可</w:t>
      </w:r>
    </w:p>
    <w:p>
      <w:pPr>
        <w:spacing w:after="60" w:line="300" w:lineRule="exact"/>
      </w:pPr>
      <w:r>
        <w:rPr>
          <w:rFonts w:ascii="游ゴシック" w:cs="游ゴシック" w:eastAsia="游ゴシック" w:hAnsi="游ゴシック"/>
          <w:color w:val="595959"/>
          <w:sz w:val="20"/>
          <w:szCs w:val="20"/>
        </w:rPr>
        <w:t xml:space="preserve">本計画での扱い：5-8(2)・施策3-5</w:t>
      </w:r>
    </w:p>
    <w:p>
      <w:pPr>
        <w:keepNext/>
        <w:spacing w:after="60" w:before="180" w:line="280" w:lineRule="exact"/>
      </w:pPr>
      <w:r>
        <w:rPr>
          <w:rFonts w:ascii="游ゴシック" w:cs="游ゴシック" w:eastAsia="游ゴシック" w:hAnsi="游ゴシック"/>
          <w:b/>
          <w:bCs/>
          <w:color w:val="1F3864"/>
          <w:sz w:val="20"/>
          <w:szCs w:val="20"/>
        </w:rPr>
        <w:t xml:space="preserve">3　推進Ⅱ　2 / 給付費適正化事業の取組状況 / ウ</w:t>
      </w:r>
      <w:r>
        <w:rPr>
          <w:rFonts w:ascii="游ゴシック" w:cs="游ゴシック" w:eastAsia="游ゴシック" w:hAnsi="游ゴシック"/>
          <w:color w:val="595959"/>
          <w:sz w:val="18"/>
          <w:szCs w:val="18"/>
        </w:rPr>
        <w:t xml:space="preserve">　（8点・県内24／59団体が取得）</w:t>
      </w:r>
    </w:p>
    <w:p>
      <w:pPr>
        <w:spacing w:after="40" w:line="300" w:lineRule="exact"/>
      </w:pPr>
      <w:r>
        <w:rPr>
          <w:rFonts w:ascii="游明朝" w:cs="游明朝" w:eastAsia="游明朝" w:hAnsi="游明朝"/>
          <w:sz w:val="20"/>
          <w:szCs w:val="20"/>
        </w:rPr>
        <w:t xml:space="preserve">要ること：ケアプラン点検への村外施設入居者分の追加。村外施設の実態把握と県・他市町村との連携体制</w:t>
      </w:r>
    </w:p>
    <w:p>
      <w:pPr>
        <w:spacing w:after="60" w:line="300" w:lineRule="exact"/>
      </w:pPr>
      <w:r>
        <w:rPr>
          <w:rFonts w:ascii="游ゴシック" w:cs="游ゴシック" w:eastAsia="游ゴシック" w:hAnsi="游ゴシック"/>
          <w:color w:val="595959"/>
          <w:sz w:val="20"/>
          <w:szCs w:val="20"/>
        </w:rPr>
        <w:t xml:space="preserve">本計画での扱い：5-8(2)・5-4(13)・施策3-5</w:t>
      </w:r>
    </w:p>
    <w:p>
      <w:pPr>
        <w:keepNext/>
        <w:spacing w:after="60" w:before="180" w:line="280" w:lineRule="exact"/>
      </w:pPr>
      <w:r>
        <w:rPr>
          <w:rFonts w:ascii="游ゴシック" w:cs="游ゴシック" w:eastAsia="游ゴシック" w:hAnsi="游ゴシック"/>
          <w:b/>
          <w:bCs/>
          <w:color w:val="1F3864"/>
          <w:sz w:val="20"/>
          <w:szCs w:val="20"/>
        </w:rPr>
        <w:t xml:space="preserve">4　推進Ⅱ　2 / 給付費適正化事業の取組状況 / ア</w:t>
      </w:r>
      <w:r>
        <w:rPr>
          <w:rFonts w:ascii="游ゴシック" w:cs="游ゴシック" w:eastAsia="游ゴシック" w:hAnsi="游ゴシック"/>
          <w:color w:val="595959"/>
          <w:sz w:val="18"/>
          <w:szCs w:val="18"/>
        </w:rPr>
        <w:t xml:space="preserve">　（6点・県内54／59団体が取得）</w:t>
      </w:r>
    </w:p>
    <w:p>
      <w:pPr>
        <w:spacing w:after="40" w:line="300" w:lineRule="exact"/>
      </w:pPr>
      <w:r>
        <w:rPr>
          <w:rFonts w:ascii="游明朝" w:cs="游明朝" w:eastAsia="游明朝" w:hAnsi="游明朝"/>
          <w:sz w:val="20"/>
          <w:szCs w:val="20"/>
        </w:rPr>
        <w:t xml:space="preserve">要ること：主要3事業（要介護認定の適正化・ケアプラン等の点検）の実施と記録</w:t>
      </w:r>
    </w:p>
    <w:p>
      <w:pPr>
        <w:spacing w:after="60" w:line="300" w:lineRule="exact"/>
      </w:pPr>
      <w:r>
        <w:rPr>
          <w:rFonts w:ascii="游ゴシック" w:cs="游ゴシック" w:eastAsia="游ゴシック" w:hAnsi="游ゴシック"/>
          <w:color w:val="595959"/>
          <w:sz w:val="20"/>
          <w:szCs w:val="20"/>
        </w:rPr>
        <w:t xml:space="preserve">本計画での扱い：5-8(1)・施策3-5</w:t>
      </w:r>
    </w:p>
    <w:p>
      <w:pPr>
        <w:keepNext/>
        <w:spacing w:after="60" w:before="180" w:line="280" w:lineRule="exact"/>
      </w:pPr>
      <w:r>
        <w:rPr>
          <w:rFonts w:ascii="游ゴシック" w:cs="游ゴシック" w:eastAsia="游ゴシック" w:hAnsi="游ゴシック"/>
          <w:b/>
          <w:bCs/>
          <w:color w:val="1F3864"/>
          <w:sz w:val="20"/>
          <w:szCs w:val="20"/>
        </w:rPr>
        <w:t xml:space="preserve">5　推進Ⅲ　1 / 介護人材の確保・定着の取組状況 / エ</w:t>
      </w:r>
      <w:r>
        <w:rPr>
          <w:rFonts w:ascii="游ゴシック" w:cs="游ゴシック" w:eastAsia="游ゴシック" w:hAnsi="游ゴシック"/>
          <w:color w:val="595959"/>
          <w:sz w:val="18"/>
          <w:szCs w:val="18"/>
        </w:rPr>
        <w:t xml:space="preserve">　（6点・県内27／59団体が取得）</w:t>
      </w:r>
    </w:p>
    <w:p>
      <w:pPr>
        <w:spacing w:after="40" w:line="300" w:lineRule="exact"/>
      </w:pPr>
      <w:r>
        <w:rPr>
          <w:rFonts w:ascii="游明朝" w:cs="游明朝" w:eastAsia="游明朝" w:hAnsi="游明朝"/>
          <w:sz w:val="20"/>
          <w:szCs w:val="20"/>
        </w:rPr>
        <w:t xml:space="preserve">要ること：イ又はウの取組の成果（キャリアアップ事業研修支援補助金の交付実績）の公表。本村はウを取得済みであり、新たな事業も予算も要さない</w:t>
      </w:r>
    </w:p>
    <w:p>
      <w:pPr>
        <w:spacing w:after="60" w:line="300" w:lineRule="exact"/>
      </w:pPr>
      <w:r>
        <w:rPr>
          <w:rFonts w:ascii="游ゴシック" w:cs="游ゴシック" w:eastAsia="游ゴシック" w:hAnsi="游ゴシック"/>
          <w:color w:val="595959"/>
          <w:sz w:val="20"/>
          <w:szCs w:val="20"/>
        </w:rPr>
        <w:t xml:space="preserve">本計画での扱い：施策4-6</w:t>
      </w:r>
    </w:p>
    <w:p>
      <w:pPr>
        <w:keepNext/>
        <w:spacing w:after="60" w:before="180" w:line="280" w:lineRule="exact"/>
      </w:pPr>
      <w:r>
        <w:rPr>
          <w:rFonts w:ascii="游ゴシック" w:cs="游ゴシック" w:eastAsia="游ゴシック" w:hAnsi="游ゴシック"/>
          <w:b/>
          <w:bCs/>
          <w:color w:val="1F3864"/>
          <w:sz w:val="20"/>
          <w:szCs w:val="20"/>
        </w:rPr>
        <w:t xml:space="preserve">6　支援Ⅱ　3 / 難聴高齢者の早期発見・早期介入 / ア</w:t>
      </w:r>
      <w:r>
        <w:rPr>
          <w:rFonts w:ascii="游ゴシック" w:cs="游ゴシック" w:eastAsia="游ゴシック" w:hAnsi="游ゴシック"/>
          <w:color w:val="595959"/>
          <w:sz w:val="18"/>
          <w:szCs w:val="18"/>
        </w:rPr>
        <w:t xml:space="preserve">　（5点・県内47／59団体が取得）</w:t>
      </w:r>
    </w:p>
    <w:p>
      <w:pPr>
        <w:spacing w:after="40" w:line="300" w:lineRule="exact"/>
      </w:pPr>
      <w:r>
        <w:rPr>
          <w:rFonts w:ascii="游明朝" w:cs="游明朝" w:eastAsia="游明朝" w:hAnsi="游明朝"/>
          <w:sz w:val="20"/>
          <w:szCs w:val="20"/>
        </w:rPr>
        <w:t xml:space="preserve">要ること：難聴に関する普及啓発</w:t>
      </w:r>
    </w:p>
    <w:p>
      <w:pPr>
        <w:spacing w:after="60" w:line="300" w:lineRule="exact"/>
      </w:pPr>
      <w:r>
        <w:rPr>
          <w:rFonts w:ascii="游ゴシック" w:cs="游ゴシック" w:eastAsia="游ゴシック" w:hAnsi="游ゴシック"/>
          <w:color w:val="595959"/>
          <w:sz w:val="20"/>
          <w:szCs w:val="20"/>
        </w:rPr>
        <w:t xml:space="preserve">本計画での扱い：施策4-4</w:t>
      </w:r>
    </w:p>
    <w:p>
      <w:pPr>
        <w:keepNext/>
        <w:spacing w:after="60" w:before="180" w:line="280" w:lineRule="exact"/>
      </w:pPr>
      <w:r>
        <w:rPr>
          <w:rFonts w:ascii="游ゴシック" w:cs="游ゴシック" w:eastAsia="游ゴシック" w:hAnsi="游ゴシック"/>
          <w:b/>
          <w:bCs/>
          <w:color w:val="1F3864"/>
          <w:sz w:val="20"/>
          <w:szCs w:val="20"/>
        </w:rPr>
        <w:t xml:space="preserve">7　支援Ⅱ　3 / 難聴高齢者の早期発見・早期介入 / イ</w:t>
      </w:r>
      <w:r>
        <w:rPr>
          <w:rFonts w:ascii="游ゴシック" w:cs="游ゴシック" w:eastAsia="游ゴシック" w:hAnsi="游ゴシック"/>
          <w:color w:val="595959"/>
          <w:sz w:val="18"/>
          <w:szCs w:val="18"/>
        </w:rPr>
        <w:t xml:space="preserve">　（5点・県内45／59団体が取得）</w:t>
      </w:r>
    </w:p>
    <w:p>
      <w:pPr>
        <w:spacing w:after="40" w:line="300" w:lineRule="exact"/>
      </w:pPr>
      <w:r>
        <w:rPr>
          <w:rFonts w:ascii="游明朝" w:cs="游明朝" w:eastAsia="游明朝" w:hAnsi="游明朝"/>
          <w:sz w:val="20"/>
          <w:szCs w:val="20"/>
        </w:rPr>
        <w:t xml:space="preserve">要ること：健診等での早期発見の仕組み</w:t>
      </w:r>
    </w:p>
    <w:p>
      <w:pPr>
        <w:spacing w:after="60" w:line="300" w:lineRule="exact"/>
      </w:pPr>
      <w:r>
        <w:rPr>
          <w:rFonts w:ascii="游ゴシック" w:cs="游ゴシック" w:eastAsia="游ゴシック" w:hAnsi="游ゴシック"/>
          <w:color w:val="595959"/>
          <w:sz w:val="20"/>
          <w:szCs w:val="20"/>
        </w:rPr>
        <w:t xml:space="preserve">本計画での扱い：施策4-4・施策1-6</w:t>
      </w:r>
    </w:p>
    <w:p>
      <w:pPr>
        <w:keepNext/>
        <w:spacing w:after="60" w:before="180" w:line="280" w:lineRule="exact"/>
      </w:pPr>
      <w:r>
        <w:rPr>
          <w:rFonts w:ascii="游ゴシック" w:cs="游ゴシック" w:eastAsia="游ゴシック" w:hAnsi="游ゴシック"/>
          <w:b/>
          <w:bCs/>
          <w:color w:val="1F3864"/>
          <w:sz w:val="20"/>
          <w:szCs w:val="20"/>
        </w:rPr>
        <w:t xml:space="preserve">8　支援Ⅲ　1 / 在宅医療・介護連携に関する課題・対応策の検討 / ア</w:t>
      </w:r>
      <w:r>
        <w:rPr>
          <w:rFonts w:ascii="游ゴシック" w:cs="游ゴシック" w:eastAsia="游ゴシック" w:hAnsi="游ゴシック"/>
          <w:color w:val="595959"/>
          <w:sz w:val="18"/>
          <w:szCs w:val="18"/>
        </w:rPr>
        <w:t xml:space="preserve">　（5点・県内29／59団体が取得）</w:t>
      </w:r>
    </w:p>
    <w:p>
      <w:pPr>
        <w:spacing w:after="40" w:line="300" w:lineRule="exact"/>
      </w:pPr>
      <w:r>
        <w:rPr>
          <w:rFonts w:ascii="游明朝" w:cs="游明朝" w:eastAsia="游明朝" w:hAnsi="游明朝"/>
          <w:sz w:val="20"/>
          <w:szCs w:val="20"/>
        </w:rPr>
        <w:t xml:space="preserve">要ること：4つの場面（日常の療養支援・入退院支援・急変時の対応・看取り）ごとの目指すべき姿の設定</w:t>
      </w:r>
    </w:p>
    <w:p>
      <w:pPr>
        <w:spacing w:after="60" w:line="300" w:lineRule="exact"/>
      </w:pPr>
      <w:r>
        <w:rPr>
          <w:rFonts w:ascii="游ゴシック" w:cs="游ゴシック" w:eastAsia="游ゴシック" w:hAnsi="游ゴシック"/>
          <w:color w:val="595959"/>
          <w:sz w:val="20"/>
          <w:szCs w:val="20"/>
        </w:rPr>
        <w:t xml:space="preserve">本計画での扱い：施策4-3</w:t>
      </w:r>
    </w:p>
    <w:p>
      <w:pPr>
        <w:keepNext/>
        <w:spacing w:after="60" w:before="180" w:line="280" w:lineRule="exact"/>
      </w:pPr>
      <w:r>
        <w:rPr>
          <w:rFonts w:ascii="游ゴシック" w:cs="游ゴシック" w:eastAsia="游ゴシック" w:hAnsi="游ゴシック"/>
          <w:b/>
          <w:bCs/>
          <w:color w:val="1F3864"/>
          <w:sz w:val="20"/>
          <w:szCs w:val="20"/>
        </w:rPr>
        <w:t xml:space="preserve">9　支援Ⅲ　1 / 在宅医療・介護連携に関する課題・対応策の検討 / エ</w:t>
      </w:r>
      <w:r>
        <w:rPr>
          <w:rFonts w:ascii="游ゴシック" w:cs="游ゴシック" w:eastAsia="游ゴシック" w:hAnsi="游ゴシック"/>
          <w:color w:val="595959"/>
          <w:sz w:val="18"/>
          <w:szCs w:val="18"/>
        </w:rPr>
        <w:t xml:space="preserve">　（5点・県内24／59団体が取得）</w:t>
      </w:r>
    </w:p>
    <w:p>
      <w:pPr>
        <w:spacing w:after="40" w:line="300" w:lineRule="exact"/>
      </w:pPr>
      <w:r>
        <w:rPr>
          <w:rFonts w:ascii="游明朝" w:cs="游明朝" w:eastAsia="游明朝" w:hAnsi="游明朝"/>
          <w:sz w:val="20"/>
          <w:szCs w:val="20"/>
        </w:rPr>
        <w:t xml:space="preserve">要ること：課題を踏まえた目標の設定と対応策の立案</w:t>
      </w:r>
    </w:p>
    <w:p>
      <w:pPr>
        <w:spacing w:after="60" w:line="300" w:lineRule="exact"/>
      </w:pPr>
      <w:r>
        <w:rPr>
          <w:rFonts w:ascii="游ゴシック" w:cs="游ゴシック" w:eastAsia="游ゴシック" w:hAnsi="游ゴシック"/>
          <w:color w:val="595959"/>
          <w:sz w:val="20"/>
          <w:szCs w:val="20"/>
        </w:rPr>
        <w:t xml:space="preserve">本計画での扱い：施策4-3</w:t>
      </w:r>
    </w:p>
    <w:p>
      <w:pPr>
        <w:keepNext/>
        <w:spacing w:after="60" w:before="180" w:line="280" w:lineRule="exact"/>
      </w:pPr>
      <w:r>
        <w:rPr>
          <w:rFonts w:ascii="游ゴシック" w:cs="游ゴシック" w:eastAsia="游ゴシック" w:hAnsi="游ゴシック"/>
          <w:b/>
          <w:bCs/>
          <w:color w:val="1F3864"/>
          <w:sz w:val="20"/>
          <w:szCs w:val="20"/>
        </w:rPr>
        <w:t xml:space="preserve">10　支援Ⅱ　1 / 認知症サポーター等を活用した地域支援体制の構築 / カ</w:t>
      </w:r>
      <w:r>
        <w:rPr>
          <w:rFonts w:ascii="游ゴシック" w:cs="游ゴシック" w:eastAsia="游ゴシック" w:hAnsi="游ゴシック"/>
          <w:color w:val="595959"/>
          <w:sz w:val="18"/>
          <w:szCs w:val="18"/>
        </w:rPr>
        <w:t xml:space="preserve">　（5点・県内15／59団体が取得）</w:t>
      </w:r>
    </w:p>
    <w:p>
      <w:pPr>
        <w:spacing w:after="40" w:line="300" w:lineRule="exact"/>
      </w:pPr>
      <w:r>
        <w:rPr>
          <w:rFonts w:ascii="游明朝" w:cs="游明朝" w:eastAsia="游明朝" w:hAnsi="游明朝"/>
          <w:sz w:val="20"/>
          <w:szCs w:val="20"/>
        </w:rPr>
        <w:t xml:space="preserve">要ること：認知症の人および家族等の意見を踏まえた市町村認知症施策推進計画の策定に着手していること。原典の留意点は「認知症の人と家族等が参画し、意見を反映させる仕組みを整備した上で計画の策定に着手している場合に評価の対象とする」としている。本計画が同計画を兼ね（1-2）、意見を聴く方法を4-7(5)に定めている。仕組みを実際に動かすことが前提となる</w:t>
      </w:r>
    </w:p>
    <w:p>
      <w:pPr>
        <w:spacing w:after="60" w:line="300" w:lineRule="exact"/>
      </w:pPr>
      <w:r>
        <w:rPr>
          <w:rFonts w:ascii="游ゴシック" w:cs="游ゴシック" w:eastAsia="游ゴシック" w:hAnsi="游ゴシック"/>
          <w:color w:val="595959"/>
          <w:sz w:val="20"/>
          <w:szCs w:val="20"/>
        </w:rPr>
        <w:t xml:space="preserve">本計画での扱い：4-7・4-7(5)</w:t>
      </w:r>
    </w:p>
    <w:p>
      <w:pPr>
        <w:keepNext/>
        <w:spacing w:after="60" w:before="180" w:line="280" w:lineRule="exact"/>
      </w:pPr>
      <w:r>
        <w:rPr>
          <w:rFonts w:ascii="游ゴシック" w:cs="游ゴシック" w:eastAsia="游ゴシック" w:hAnsi="游ゴシック"/>
          <w:b/>
          <w:bCs/>
          <w:color w:val="1F3864"/>
          <w:sz w:val="20"/>
          <w:szCs w:val="20"/>
        </w:rPr>
        <w:t xml:space="preserve">11　支援Ⅱ　1 / 認知症サポーター等を活用した地域支援体制の構築 / イ</w:t>
      </w:r>
      <w:r>
        <w:rPr>
          <w:rFonts w:ascii="游ゴシック" w:cs="游ゴシック" w:eastAsia="游ゴシック" w:hAnsi="游ゴシック"/>
          <w:color w:val="595959"/>
          <w:sz w:val="18"/>
          <w:szCs w:val="18"/>
        </w:rPr>
        <w:t xml:space="preserve">　（4点・県内45／59団体が取得）</w:t>
      </w:r>
    </w:p>
    <w:p>
      <w:pPr>
        <w:spacing w:after="40" w:line="300" w:lineRule="exact"/>
      </w:pPr>
      <w:r>
        <w:rPr>
          <w:rFonts w:ascii="游明朝" w:cs="游明朝" w:eastAsia="游明朝" w:hAnsi="游明朝"/>
          <w:sz w:val="20"/>
          <w:szCs w:val="20"/>
        </w:rPr>
        <w:t xml:space="preserve">要ること：成年後見制度利用支援事業の要綱の改正（対象を限定しない）</w:t>
      </w:r>
    </w:p>
    <w:p>
      <w:pPr>
        <w:spacing w:after="60" w:line="300" w:lineRule="exact"/>
      </w:pPr>
      <w:r>
        <w:rPr>
          <w:rFonts w:ascii="游ゴシック" w:cs="游ゴシック" w:eastAsia="游ゴシック" w:hAnsi="游ゴシック"/>
          <w:color w:val="595959"/>
          <w:sz w:val="20"/>
          <w:szCs w:val="20"/>
        </w:rPr>
        <w:t xml:space="preserve">本計画での扱い：施策4-7</w:t>
      </w:r>
    </w:p>
    <w:p>
      <w:pPr>
        <w:keepNext/>
        <w:spacing w:after="60" w:before="180" w:line="280" w:lineRule="exact"/>
      </w:pPr>
      <w:r>
        <w:rPr>
          <w:rFonts w:ascii="游ゴシック" w:cs="游ゴシック" w:eastAsia="游ゴシック" w:hAnsi="游ゴシック"/>
          <w:b/>
          <w:bCs/>
          <w:color w:val="1F3864"/>
          <w:sz w:val="20"/>
          <w:szCs w:val="20"/>
        </w:rPr>
        <w:t xml:space="preserve">15　支援Ⅰ　1 / データを活用した課題の把握 / ウ</w:t>
      </w:r>
      <w:r>
        <w:rPr>
          <w:rFonts w:ascii="游ゴシック" w:cs="游ゴシック" w:eastAsia="游ゴシック" w:hAnsi="游ゴシック"/>
          <w:color w:val="595959"/>
          <w:sz w:val="18"/>
          <w:szCs w:val="18"/>
        </w:rPr>
        <w:t xml:space="preserve">　（2点・県内51／59団体が取得）</w:t>
      </w:r>
    </w:p>
    <w:p>
      <w:pPr>
        <w:spacing w:after="40" w:line="300" w:lineRule="exact"/>
      </w:pPr>
      <w:r>
        <w:rPr>
          <w:rFonts w:ascii="游明朝" w:cs="游明朝" w:eastAsia="游明朝" w:hAnsi="游明朝"/>
          <w:sz w:val="20"/>
          <w:szCs w:val="20"/>
        </w:rPr>
        <w:t xml:space="preserve">要ること：ニーズ調査・在宅介護実態調査・見える化分析の実施が要件を満たす</w:t>
      </w:r>
    </w:p>
    <w:p>
      <w:pPr>
        <w:spacing w:after="60" w:line="300" w:lineRule="exact"/>
      </w:pPr>
      <w:r>
        <w:rPr>
          <w:rFonts w:ascii="游ゴシック" w:cs="游ゴシック" w:eastAsia="游ゴシック" w:hAnsi="游ゴシック"/>
          <w:color w:val="595959"/>
          <w:sz w:val="20"/>
          <w:szCs w:val="20"/>
        </w:rPr>
        <w:t xml:space="preserve">本計画での扱い：2-10・第2章・6-4</w:t>
      </w:r>
    </w:p>
    <w:p>
      <w:pPr>
        <w:keepNext/>
        <w:spacing w:after="60" w:before="180" w:line="280" w:lineRule="exact"/>
      </w:pPr>
      <w:r>
        <w:rPr>
          <w:rFonts w:ascii="游ゴシック" w:cs="游ゴシック" w:eastAsia="游ゴシック" w:hAnsi="游ゴシック"/>
          <w:b/>
          <w:bCs/>
          <w:color w:val="1F3864"/>
          <w:sz w:val="20"/>
          <w:szCs w:val="20"/>
        </w:rPr>
        <w:t xml:space="preserve">16　支援Ⅰ　1 / データを活用した課題の把握 / エ</w:t>
      </w:r>
      <w:r>
        <w:rPr>
          <w:rFonts w:ascii="游ゴシック" w:cs="游ゴシック" w:eastAsia="游ゴシック" w:hAnsi="游ゴシック"/>
          <w:color w:val="595959"/>
          <w:sz w:val="18"/>
          <w:szCs w:val="18"/>
        </w:rPr>
        <w:t xml:space="preserve">　（2点・県内44／59団体が取得）</w:t>
      </w:r>
    </w:p>
    <w:p>
      <w:pPr>
        <w:spacing w:after="40" w:line="300" w:lineRule="exact"/>
      </w:pPr>
      <w:r>
        <w:rPr>
          <w:rFonts w:ascii="游明朝" w:cs="游明朝" w:eastAsia="游明朝" w:hAnsi="游明朝"/>
          <w:sz w:val="20"/>
          <w:szCs w:val="20"/>
        </w:rPr>
        <w:t xml:space="preserve">要ること：同上</w:t>
      </w:r>
    </w:p>
    <w:p>
      <w:pPr>
        <w:spacing w:after="60" w:line="300" w:lineRule="exact"/>
      </w:pPr>
      <w:r>
        <w:rPr>
          <w:rFonts w:ascii="游ゴシック" w:cs="游ゴシック" w:eastAsia="游ゴシック" w:hAnsi="游ゴシック"/>
          <w:color w:val="595959"/>
          <w:sz w:val="20"/>
          <w:szCs w:val="20"/>
        </w:rPr>
        <w:t xml:space="preserve">本計画での扱い：2-10・第2章・6-4</w:t>
      </w:r>
    </w:p>
    <w:p>
      <w:pPr>
        <w:keepNext/>
        <w:spacing w:after="60" w:before="180" w:line="280" w:lineRule="exact"/>
      </w:pPr>
      <w:r>
        <w:rPr>
          <w:rFonts w:ascii="游ゴシック" w:cs="游ゴシック" w:eastAsia="游ゴシック" w:hAnsi="游ゴシック"/>
          <w:b/>
          <w:bCs/>
          <w:color w:val="1F3864"/>
          <w:sz w:val="20"/>
          <w:szCs w:val="20"/>
        </w:rPr>
        <w:t xml:space="preserve">17　支援Ⅲ　2 / 在宅医療・介護連携の具体的取組状況 / イ / ②</w:t>
      </w:r>
      <w:r>
        <w:rPr>
          <w:rFonts w:ascii="游ゴシック" w:cs="游ゴシック" w:eastAsia="游ゴシック" w:hAnsi="游ゴシック"/>
          <w:color w:val="595959"/>
          <w:sz w:val="18"/>
          <w:szCs w:val="18"/>
        </w:rPr>
        <w:t xml:space="preserve">　（2点・県内43／59団体が取得）</w:t>
      </w:r>
    </w:p>
    <w:p>
      <w:pPr>
        <w:spacing w:after="40" w:line="300" w:lineRule="exact"/>
      </w:pPr>
      <w:r>
        <w:rPr>
          <w:rFonts w:ascii="游明朝" w:cs="游明朝" w:eastAsia="游明朝" w:hAnsi="游明朝"/>
          <w:sz w:val="20"/>
          <w:szCs w:val="20"/>
        </w:rPr>
        <w:t xml:space="preserve">要ること：相談内容の取りまとめと関係者間での共有</w:t>
      </w:r>
    </w:p>
    <w:p>
      <w:pPr>
        <w:spacing w:after="60" w:line="300" w:lineRule="exact"/>
      </w:pPr>
      <w:r>
        <w:rPr>
          <w:rFonts w:ascii="游ゴシック" w:cs="游ゴシック" w:eastAsia="游ゴシック" w:hAnsi="游ゴシック"/>
          <w:color w:val="595959"/>
          <w:sz w:val="20"/>
          <w:szCs w:val="20"/>
        </w:rPr>
        <w:t xml:space="preserve">本計画での扱い：施策4-3</w:t>
      </w:r>
    </w:p>
    <w:p>
      <w:pPr>
        <w:keepNext/>
        <w:spacing w:after="160" w:before="300" w:line="320" w:lineRule="exact"/>
      </w:pPr>
      <w:r>
        <w:rPr>
          <w:rFonts w:ascii="游ゴシック" w:cs="游ゴシック" w:eastAsia="游ゴシック" w:hAnsi="游ゴシック"/>
          <w:b/>
          <w:bCs/>
          <w:color w:val="1F3864"/>
          <w:sz w:val="26"/>
          <w:szCs w:val="26"/>
        </w:rPr>
        <w:t xml:space="preserve">6　判定が済んでいない項目のうち、判定を急ぐもの</w:t>
      </w:r>
    </w:p>
    <w:p>
      <w:pPr>
        <w:spacing w:after="140" w:line="300" w:lineRule="exact"/>
      </w:pPr>
      <w:r>
        <w:rPr>
          <w:rFonts w:ascii="游明朝" w:cs="游明朝" w:eastAsia="游明朝" w:hAnsi="游明朝"/>
          <w:sz w:val="21"/>
          <w:szCs w:val="21"/>
        </w:rPr>
        <w:t xml:space="preserve">段Ｅは 63項目 139点です。うち県内の半数以上が取得しているものが 1項目 1点、4分の1以上が 12項目 22点あります。県内で取得している団体が多いのに本村が0点のものから判定します。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936"/>
        <w:gridCol w:w="1872"/>
      </w:tblGrid>
      <w:tr>
        <w:trPr>
          <w:tblHeader/>
        </w:trPr>
        <w:tc>
          <w:tcPr>
            <w:tcW w:type="dxa" w:w="93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目標</w:t>
            </w:r>
          </w:p>
        </w:tc>
        <w:tc>
          <w:tcPr>
            <w:tcW w:type="dxa" w:w="561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指標</w:t>
            </w:r>
          </w:p>
        </w:tc>
        <w:tc>
          <w:tcPr>
            <w:tcW w:type="dxa" w:w="936"/>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点</w:t>
            </w:r>
          </w:p>
        </w:tc>
        <w:tc>
          <w:tcPr>
            <w:tcW w:type="dxa" w:w="1872"/>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県内で取得</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6 / 心身・認知機能維持・改善者の割合 / イ</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36／59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6 / 心身・認知機能維持・改善者の割合 / ウ</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25／59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5 / ポイント事業への参加率 / イ</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23／59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7 / 多様なサービスの活用推進 / カ</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21／59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今年度の評価点 / ウ</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17／59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1 / ケアプラン点検の実施状況 / ウ</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16／59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認知症サポーターステップアップ講座修了者数 / 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16／59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人生の最終段階における支援の実施状況 / ア / 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16／59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人生の最終段階における支援の実施状況 / イ / 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2点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16／59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2 / 地域包括支援センター事業評価の達成状況 / ウ / ③</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16／59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9 / 多様なサービスの実施状況 / ア / ①</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16／59</w:t>
            </w:r>
          </w:p>
        </w:tc>
      </w:tr>
      <w:tr>
        <w:tc>
          <w:tcPr>
            <w:tcW w:type="dxa" w:w="93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5616"/>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7 / 多様なサービスの活用推進 / オ</w:t>
            </w:r>
          </w:p>
        </w:tc>
        <w:tc>
          <w:tcPr>
            <w:tcW w:type="dxa" w:w="936"/>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1点</w:t>
            </w:r>
          </w:p>
        </w:tc>
        <w:tc>
          <w:tcPr>
            <w:tcW w:type="dxa" w:w="1872"/>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15／59</w:t>
            </w:r>
          </w:p>
        </w:tc>
      </w:tr>
    </w:tbl>
    <w:p>
      <w:r>
        <w:br w:type="page"/>
      </w:r>
    </w:p>
    <w:p>
      <w:pPr>
        <w:keepNext/>
        <w:spacing w:after="160" w:before="300" w:line="320" w:lineRule="exact"/>
      </w:pPr>
      <w:r>
        <w:rPr>
          <w:rFonts w:ascii="游ゴシック" w:cs="游ゴシック" w:eastAsia="游ゴシック" w:hAnsi="游ゴシック"/>
          <w:b/>
          <w:bCs/>
          <w:color w:val="1F3864"/>
          <w:sz w:val="26"/>
          <w:szCs w:val="26"/>
        </w:rPr>
        <w:t xml:space="preserve">7　見込める得点</w:t>
      </w:r>
    </w:p>
    <w:p>
      <w:pPr>
        <w:spacing w:after="140" w:line="300" w:lineRule="exact"/>
      </w:pPr>
      <w:r>
        <w:rPr>
          <w:rFonts w:ascii="游明朝" w:cs="游明朝" w:eastAsia="游明朝" w:hAnsi="游明朝"/>
          <w:sz w:val="21"/>
          <w:szCs w:val="21"/>
        </w:rPr>
        <w:t xml:space="preserve">目標ごとに積み上げました。満点100点を超えると切り捨てられるため、目標ごとに確かめています。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2"/>
        <w:gridCol w:w="3089"/>
        <w:gridCol w:w="749"/>
        <w:gridCol w:w="749"/>
        <w:gridCol w:w="749"/>
        <w:gridCol w:w="749"/>
        <w:gridCol w:w="749"/>
        <w:gridCol w:w="1684"/>
      </w:tblGrid>
      <w:tr>
        <w:trPr>
          <w:tblHeader/>
        </w:trPr>
        <w:tc>
          <w:tcPr>
            <w:tcW w:type="dxa" w:w="842"/>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目標</w:t>
            </w:r>
          </w:p>
        </w:tc>
        <w:tc>
          <w:tcPr>
            <w:tcW w:type="dxa" w:w="308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目標名</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いま</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＋Ａ</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＋Ｂ</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＋Ｃ</w:t>
            </w:r>
          </w:p>
        </w:tc>
        <w:tc>
          <w:tcPr>
            <w:tcW w:type="dxa" w:w="749"/>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満点</w:t>
            </w:r>
          </w:p>
        </w:tc>
        <w:tc>
          <w:tcPr>
            <w:tcW w:type="dxa" w:w="1684"/>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県平均</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推進Ⅰ</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持続可能な地域のあるべき姿をかたちにする</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76</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76</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76</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76</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63.3</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推進Ⅱ</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公正・公平な給付を行う体制を構築する</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70.8</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推進Ⅲ</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介護人材の確保その他のサービス提供基盤の整備を推進する</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46</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64</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49.7</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推進Ⅳ</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高齢者が可能な限り自立した日常生活を営む（成果指標群）</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46.4</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支援Ⅰ</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介護予防／日常生活支援を推進する</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71</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71</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80</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60.6</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支援Ⅱ</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認知症総合支援を推進する</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46</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51</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54.5</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支援Ⅲ</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在宅医療・在宅介護連携の体制を構築する</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70</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82</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90</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64.7</w:t>
            </w:r>
          </w:p>
        </w:tc>
      </w:tr>
      <w:tr>
        <w:tc>
          <w:tcPr>
            <w:tcW w:type="dxa" w:w="842"/>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支援Ⅳ</w:t>
            </w:r>
          </w:p>
        </w:tc>
        <w:tc>
          <w:tcPr>
            <w:tcW w:type="dxa" w:w="3089"/>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高齢者が可能な限り自立した日常生活を営む（成果指標群）</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w:t>
            </w:r>
          </w:p>
        </w:tc>
        <w:tc>
          <w:tcPr>
            <w:tcW w:type="dxa" w:w="749"/>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w:t>
            </w:r>
          </w:p>
        </w:tc>
        <w:tc>
          <w:tcPr>
            <w:tcW w:type="dxa" w:w="1684"/>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46.4</w:t>
            </w:r>
          </w:p>
        </w:tc>
      </w:tr>
    </w:tbl>
    <w:p>
      <w:pPr>
        <w:spacing w:after="10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123"/>
        <w:gridCol w:w="1591"/>
        <w:gridCol w:w="1591"/>
        <w:gridCol w:w="1310"/>
        <w:gridCol w:w="1311"/>
      </w:tblGrid>
      <w:tr>
        <w:trPr>
          <w:tblHeader/>
        </w:trPr>
        <w:tc>
          <w:tcPr>
            <w:tcW w:type="dxa" w:w="2434"/>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
            </w:r>
          </w:p>
        </w:tc>
        <w:tc>
          <w:tcPr>
            <w:tcW w:type="dxa" w:w="1123"/>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合計</w:t>
            </w:r>
          </w:p>
        </w:tc>
        <w:tc>
          <w:tcPr>
            <w:tcW w:type="dxa" w:w="1591"/>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全国平均との差</w:t>
            </w:r>
          </w:p>
        </w:tc>
        <w:tc>
          <w:tcPr>
            <w:tcW w:type="dxa" w:w="1591"/>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県平均との差</w:t>
            </w:r>
          </w:p>
        </w:tc>
        <w:tc>
          <w:tcPr>
            <w:tcW w:type="dxa" w:w="1310"/>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全国順位</w:t>
            </w:r>
          </w:p>
        </w:tc>
        <w:tc>
          <w:tcPr>
            <w:tcW w:type="dxa" w:w="1311"/>
            <w:shd w:fill="2E75B6" w:val="clear"/>
            <w:tcMar>
              <w:top w:type="dxa" w:w="60"/>
              <w:left w:type="dxa" w:w="80"/>
              <w:bottom w:type="dxa" w:w="60"/>
              <w:right w:type="dxa" w:w="80"/>
            </w:tcMar>
          </w:tcPr>
          <w:p>
            <w:pPr>
              <w:spacing w:after="0" w:line="240" w:lineRule="exact"/>
              <w:jc w:val="center"/>
            </w:pPr>
            <w:r>
              <w:rPr>
                <w:rFonts w:ascii="游ゴシック" w:cs="游ゴシック" w:eastAsia="游ゴシック" w:hAnsi="游ゴシック"/>
                <w:b/>
                <w:bCs/>
                <w:color w:val="FFFFFF"/>
                <w:sz w:val="16"/>
                <w:szCs w:val="16"/>
              </w:rPr>
              <w:t xml:space="preserve">県内順位</w:t>
            </w:r>
          </w:p>
        </w:tc>
      </w:tr>
      <w:tr>
        <w:tc>
          <w:tcPr>
            <w:tcW w:type="dxa" w:w="243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いま</w:t>
            </w:r>
          </w:p>
        </w:tc>
        <w:tc>
          <w:tcPr>
            <w:tcW w:type="dxa" w:w="1123"/>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447点</w:t>
            </w:r>
          </w:p>
        </w:tc>
        <w:tc>
          <w:tcPr>
            <w:tcW w:type="dxa" w:w="1591"/>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-8.1点</w:t>
            </w:r>
          </w:p>
        </w:tc>
        <w:tc>
          <w:tcPr>
            <w:tcW w:type="dxa" w:w="1591"/>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-9.4点</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1005／1741</w:t>
            </w:r>
          </w:p>
        </w:tc>
        <w:tc>
          <w:tcPr>
            <w:tcW w:type="dxa" w:w="1311"/>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34／59</w:t>
            </w:r>
          </w:p>
        </w:tc>
      </w:tr>
      <w:tr>
        <w:tc>
          <w:tcPr>
            <w:tcW w:type="dxa" w:w="2434"/>
            <w:shd w:fill="FFF2CC"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＋Ａ 記載で取れる</w:t>
            </w:r>
          </w:p>
        </w:tc>
        <w:tc>
          <w:tcPr>
            <w:tcW w:type="dxa" w:w="1123"/>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509点</w:t>
            </w:r>
          </w:p>
        </w:tc>
        <w:tc>
          <w:tcPr>
            <w:tcW w:type="dxa" w:w="1591"/>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＋53.9点</w:t>
            </w:r>
          </w:p>
        </w:tc>
        <w:tc>
          <w:tcPr>
            <w:tcW w:type="dxa" w:w="1591"/>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＋52.6点</w:t>
            </w:r>
          </w:p>
        </w:tc>
        <w:tc>
          <w:tcPr>
            <w:tcW w:type="dxa" w:w="1310"/>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525／1741</w:t>
            </w:r>
          </w:p>
        </w:tc>
        <w:tc>
          <w:tcPr>
            <w:tcW w:type="dxa" w:w="1311"/>
            <w:shd w:fill="FFF2CC"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18／59</w:t>
            </w:r>
          </w:p>
        </w:tc>
      </w:tr>
      <w:tr>
        <w:tc>
          <w:tcPr>
            <w:tcW w:type="dxa" w:w="2434"/>
            <w:shd w:fill="E8F2E8"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＋Ｂ 本業務で取れる</w:t>
            </w:r>
          </w:p>
        </w:tc>
        <w:tc>
          <w:tcPr>
            <w:tcW w:type="dxa" w:w="1123"/>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518点</w:t>
            </w:r>
          </w:p>
        </w:tc>
        <w:tc>
          <w:tcPr>
            <w:tcW w:type="dxa" w:w="1591"/>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＋62.9点</w:t>
            </w:r>
          </w:p>
        </w:tc>
        <w:tc>
          <w:tcPr>
            <w:tcW w:type="dxa" w:w="1591"/>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＋61.6点</w:t>
            </w:r>
          </w:p>
        </w:tc>
        <w:tc>
          <w:tcPr>
            <w:tcW w:type="dxa" w:w="1310"/>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459／1741</w:t>
            </w:r>
          </w:p>
        </w:tc>
        <w:tc>
          <w:tcPr>
            <w:tcW w:type="dxa" w:w="1311"/>
            <w:shd w:fill="E8F2E8"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17／59</w:t>
            </w:r>
          </w:p>
        </w:tc>
      </w:tr>
      <w:tr>
        <w:tc>
          <w:tcPr>
            <w:tcW w:type="dxa" w:w="2434"/>
            <w:shd w:fill="FFFFFF" w:val="clear"/>
            <w:tcMar>
              <w:top w:type="dxa" w:w="60"/>
              <w:left w:type="dxa" w:w="80"/>
              <w:bottom w:type="dxa" w:w="60"/>
              <w:right w:type="dxa" w:w="80"/>
            </w:tcMar>
          </w:tcPr>
          <w:p>
            <w:pPr>
              <w:spacing w:after="0" w:line="240" w:lineRule="exact"/>
            </w:pPr>
            <w:r>
              <w:rPr>
                <w:rFonts w:ascii="游ゴシック" w:cs="游ゴシック" w:eastAsia="游ゴシック" w:hAnsi="游ゴシック"/>
                <w:b w:val="false"/>
                <w:bCs w:val="false"/>
                <w:color w:val="000000"/>
                <w:sz w:val="16"/>
                <w:szCs w:val="16"/>
              </w:rPr>
              <w:t xml:space="preserve">＋Ｃ 事業の実施が前提</w:t>
            </w:r>
          </w:p>
        </w:tc>
        <w:tc>
          <w:tcPr>
            <w:tcW w:type="dxa" w:w="1123"/>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557点</w:t>
            </w:r>
          </w:p>
        </w:tc>
        <w:tc>
          <w:tcPr>
            <w:tcW w:type="dxa" w:w="1591"/>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＋101.9点</w:t>
            </w:r>
          </w:p>
        </w:tc>
        <w:tc>
          <w:tcPr>
            <w:tcW w:type="dxa" w:w="1591"/>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＋100.6点</w:t>
            </w:r>
          </w:p>
        </w:tc>
        <w:tc>
          <w:tcPr>
            <w:tcW w:type="dxa" w:w="1310"/>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181／1741</w:t>
            </w:r>
          </w:p>
        </w:tc>
        <w:tc>
          <w:tcPr>
            <w:tcW w:type="dxa" w:w="1311"/>
            <w:shd w:fill="FFFFFF" w:val="clear"/>
            <w:tcMar>
              <w:top w:type="dxa" w:w="60"/>
              <w:left w:type="dxa" w:w="80"/>
              <w:bottom w:type="dxa" w:w="60"/>
              <w:right w:type="dxa" w:w="80"/>
            </w:tcMar>
          </w:tcPr>
          <w:p>
            <w:pPr>
              <w:spacing w:after="0" w:line="240" w:lineRule="exact"/>
              <w:jc w:val="right"/>
            </w:pPr>
            <w:r>
              <w:rPr>
                <w:rFonts w:ascii="游ゴシック" w:cs="游ゴシック" w:eastAsia="游ゴシック" w:hAnsi="游ゴシック"/>
                <w:b w:val="false"/>
                <w:bCs w:val="false"/>
                <w:color w:val="000000"/>
                <w:sz w:val="16"/>
                <w:szCs w:val="16"/>
              </w:rPr>
              <w:t xml:space="preserve">6／59</w:t>
            </w:r>
          </w:p>
        </w:tc>
      </w:tr>
    </w:tbl>
    <w:p>
      <w:pPr>
        <w:spacing w:after="100" w:line="300" w:lineRule="exact"/>
      </w:pPr>
      <w:r>
        <w:rPr>
          <w:rFonts w:ascii="游明朝" w:cs="游明朝" w:eastAsia="游明朝" w:hAnsi="游明朝"/>
          <w:sz w:val="21"/>
          <w:szCs w:val="21"/>
        </w:rPr>
        <w:t xml:space="preserve"/>
      </w:r>
    </w:p>
    <w:p>
      <w:pPr>
        <w:spacing w:after="140" w:line="300" w:lineRule="exact"/>
      </w:pPr>
      <w:r>
        <w:rPr>
          <w:rFonts w:ascii="游明朝" w:cs="游明朝" w:eastAsia="游明朝" w:hAnsi="游明朝"/>
          <w:sz w:val="21"/>
          <w:szCs w:val="21"/>
        </w:rPr>
        <w:t xml:space="preserve">満点100点に頭打ちになる目標はありません（＋Ｃまで行っても最大 92点）。</w:t>
      </w:r>
    </w:p>
    <w:p>
      <w:pPr>
        <w:spacing w:after="120" w:line="280" w:lineRule="exact"/>
      </w:pPr>
      <w:r>
        <w:rPr>
          <w:rFonts w:ascii="游ゴシック" w:cs="游ゴシック" w:eastAsia="游ゴシック" w:hAnsi="游ゴシック"/>
          <w:color w:val="595959"/>
          <w:sz w:val="19"/>
          <w:szCs w:val="19"/>
        </w:rPr>
        <w:t xml:space="preserve">※ 交付額は得点に第1号被保険者数等を乗じて国が配分します。配分の総額や他団体の得点によっても変わるため、本書は得点までを示しています。</w:t>
      </w:r>
    </w:p>
    <w:p>
      <w:pPr>
        <w:keepNext/>
        <w:spacing w:after="160" w:before="300" w:line="320" w:lineRule="exact"/>
      </w:pPr>
      <w:r>
        <w:rPr>
          <w:rFonts w:ascii="游ゴシック" w:cs="游ゴシック" w:eastAsia="游ゴシック" w:hAnsi="游ゴシック"/>
          <w:b/>
          <w:bCs/>
          <w:color w:val="1F3864"/>
          <w:sz w:val="26"/>
          <w:szCs w:val="26"/>
        </w:rPr>
        <w:t xml:space="preserve">8　留意すること</w:t>
      </w:r>
    </w:p>
    <w:p>
      <w:pPr>
        <w:keepNext/>
        <w:spacing w:after="50" w:before="160" w:line="280" w:lineRule="exact"/>
      </w:pPr>
      <w:r>
        <w:rPr>
          <w:rFonts w:ascii="游ゴシック" w:cs="游ゴシック" w:eastAsia="游ゴシック" w:hAnsi="游ゴシック"/>
          <w:b/>
          <w:bCs/>
          <w:color w:val="2E75B6"/>
          <w:sz w:val="20"/>
          <w:szCs w:val="20"/>
        </w:rPr>
        <w:t xml:space="preserve">評価指標は毎年度改定される</w:t>
      </w:r>
    </w:p>
    <w:p>
      <w:pPr>
        <w:spacing w:after="60" w:line="300" w:lineRule="exact"/>
      </w:pPr>
      <w:r>
        <w:rPr>
          <w:rFonts w:ascii="游明朝" w:cs="游明朝" w:eastAsia="游明朝" w:hAnsi="游明朝"/>
          <w:sz w:val="20"/>
          <w:szCs w:val="20"/>
        </w:rPr>
        <w:t xml:space="preserve">本書の点は令和8年度の評価指標によるものです。第10期に適用される指標は未公表であり、項目の入れ替えや配点の変更があり得ます（令和4年度にあった「文書負担軽減に係る取組」は令和6年度以降の指標から外れています）。</w:t>
      </w:r>
    </w:p>
    <w:p>
      <w:pPr>
        <w:keepNext/>
        <w:spacing w:after="50" w:before="160" w:line="280" w:lineRule="exact"/>
      </w:pPr>
      <w:r>
        <w:rPr>
          <w:rFonts w:ascii="游ゴシック" w:cs="游ゴシック" w:eastAsia="游ゴシック" w:hAnsi="游ゴシック"/>
          <w:b/>
          <w:bCs/>
          <w:color w:val="2E75B6"/>
          <w:sz w:val="20"/>
          <w:szCs w:val="20"/>
        </w:rPr>
        <w:t xml:space="preserve">成果指標群は本村では動かせない</w:t>
      </w:r>
    </w:p>
    <w:p>
      <w:pPr>
        <w:spacing w:after="60" w:line="300" w:lineRule="exact"/>
      </w:pPr>
      <w:r>
        <w:rPr>
          <w:rFonts w:ascii="游明朝" w:cs="游明朝" w:eastAsia="游明朝" w:hAnsi="游明朝"/>
          <w:sz w:val="20"/>
          <w:szCs w:val="20"/>
        </w:rPr>
        <w:t xml:space="preserve">目標Ⅳ（要介護度の変化・健康寿命の延伸）は国が自動算定します。本村は対象者が少なく、1人か2人の状態の変化で5点単位で動きます。下がった26項目のうち11項目がこれにあたります。</w:t>
      </w:r>
    </w:p>
    <w:p>
      <w:pPr>
        <w:keepNext/>
        <w:spacing w:after="50" w:before="160" w:line="280" w:lineRule="exact"/>
      </w:pPr>
      <w:r>
        <w:rPr>
          <w:rFonts w:ascii="游ゴシック" w:cs="游ゴシック" w:eastAsia="游ゴシック" w:hAnsi="游ゴシック"/>
          <w:b/>
          <w:bCs/>
          <w:color w:val="2E75B6"/>
          <w:sz w:val="20"/>
          <w:szCs w:val="20"/>
        </w:rPr>
        <w:t xml:space="preserve">県内の値は集計である</w:t>
      </w:r>
    </w:p>
    <w:p>
      <w:pPr>
        <w:spacing w:after="60" w:line="300" w:lineRule="exact"/>
      </w:pPr>
      <w:r>
        <w:rPr>
          <w:rFonts w:ascii="游明朝" w:cs="游明朝" w:eastAsia="游明朝" w:hAnsi="游明朝"/>
          <w:sz w:val="20"/>
          <w:szCs w:val="20"/>
        </w:rPr>
        <w:t xml:space="preserve">県平均・県中央値・県最高・県最低・県内順位・取得団体数は福島県59市町村の集計です。個別の団体の名称と数値は載せていません。</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2026-10-21T07:22:13.003Z</dcterms:created>
  <dcterms:modified xsi:type="dcterms:W3CDTF">2026-10-21T07:22:13.003Z</dcterms:modified>
</cp:coreProperties>
</file>

<file path=docProps/custom.xml><?xml version="1.0" encoding="utf-8"?>
<Properties xmlns="http://schemas.openxmlformats.org/officeDocument/2006/custom-properties" xmlns:vt="http://schemas.openxmlformats.org/officeDocument/2006/docPropsVTypes"/>
</file>