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游ゴシック" w:cs="游ゴシック" w:eastAsia="游ゴシック" w:hAnsi="游ゴシック"/>
          <w:b/>
          <w:bCs/>
          <w:color w:val="1F3864"/>
          <w:sz w:val="24"/>
          <w:szCs w:val="24"/>
        </w:rPr>
        <w:t xml:space="preserve">川崎町高齢者保健福祉計画・第10期介護保険事業計画</w:t>
      </w:r>
    </w:p>
    <w:p>
      <w:pPr>
        <w:pBdr>
          <w:top w:val="single" w:color="1F3864" w:sz="2" w:space="8"/>
          <w:bottom w:val="single" w:color="1F3864" w:sz="2" w:space="8"/>
        </w:pBdr>
        <w:shd w:fill="1F3864" w:val="clear"/>
        <w:spacing w:after="40"/>
        <w:jc w:val="center"/>
      </w:pPr>
      <w:r>
        <w:rPr>
          <w:rFonts w:ascii="游ゴシック" w:cs="游ゴシック" w:eastAsia="游ゴシック" w:hAnsi="游ゴシック"/>
          <w:b/>
          <w:bCs/>
          <w:color w:val="FFFFFF"/>
          <w:sz w:val="30"/>
          <w:szCs w:val="30"/>
        </w:rPr>
        <w:t xml:space="preserve">介護保険料  県内比較・要因分析・施策妥当性レポート</w:t>
      </w:r>
    </w:p>
    <w:p>
      <w:pPr>
        <w:spacing w:after="20" w:before="120"/>
        <w:jc w:val="center"/>
      </w:pPr>
      <w:r>
        <w:rPr>
          <w:rFonts w:ascii="游明朝" w:cs="游明朝" w:eastAsia="游明朝" w:hAnsi="游明朝"/>
          <w:i/>
          <w:iCs/>
          <w:color w:val="2E75B6"/>
          <w:sz w:val="20"/>
          <w:szCs w:val="20"/>
        </w:rPr>
        <w:t xml:space="preserve">〜 第9期実績ベースによる位置づけ分析と第10期試算への含意 〜</w:t>
      </w:r>
    </w:p>
    <w:p>
      <w:pPr>
        <w:spacing w:after="0" w:before="160"/>
        <w:jc w:val="center"/>
      </w:pPr>
      <w:r>
        <w:rPr>
          <w:rFonts w:ascii="游明朝" w:cs="游明朝" w:eastAsia="游明朝" w:hAnsi="游明朝"/>
          <w:color w:val="808080"/>
          <w:sz w:val="18"/>
          <w:szCs w:val="18"/>
        </w:rPr>
        <w:t xml:space="preserve">令和8年6月　ビズアップ公共コンサルティング株式会社（札幌事業所）</w:t>
      </w:r>
    </w:p>
    <w:p>
      <w:pPr>
        <w:pBdr>
          <w:top w:val="single" w:color="1F3864" w:sz="2" w:space="6"/>
          <w:bottom w:val="single" w:color="1F3864" w:sz="2" w:space="6"/>
        </w:pBdr>
        <w:shd w:fill="1F3864" w:val="clear"/>
        <w:spacing w:after="160" w:before="320"/>
      </w:pPr>
      <w:r>
        <w:rPr>
          <w:rFonts w:ascii="游ゴシック" w:cs="游ゴシック" w:eastAsia="游ゴシック" w:hAnsi="游ゴシック"/>
          <w:b/>
          <w:bCs/>
          <w:color w:val="FFC000"/>
          <w:sz w:val="26"/>
          <w:szCs w:val="26"/>
        </w:rPr>
        <w:t xml:space="preserve">  要旨  </w:t>
      </w:r>
      <w:r>
        <w:rPr>
          <w:rFonts w:ascii="游ゴシック" w:cs="游ゴシック" w:eastAsia="游ゴシック" w:hAnsi="游ゴシック"/>
          <w:b/>
          <w:bCs/>
          <w:color w:val="FFFFFF"/>
          <w:sz w:val="26"/>
          <w:szCs w:val="26"/>
        </w:rPr>
        <w:t xml:space="preserve">本レポートの結論（エグゼクティブ・サマリー）</w:t>
      </w:r>
    </w:p>
    <w:p>
      <w:pPr>
        <w:spacing w:after="120" w:line="300"/>
        <w:jc w:val="both"/>
      </w:pPr>
      <w:r>
        <w:rPr>
          <w:rFonts w:ascii="游明朝" w:cs="游明朝" w:eastAsia="游明朝" w:hAnsi="游明朝"/>
          <w:b w:val="false"/>
          <w:bCs w:val="false"/>
          <w:color w:val="262626"/>
          <w:sz w:val="21"/>
          <w:szCs w:val="21"/>
        </w:rPr>
        <w:t xml:space="preserve">川崎町の第9期介護保険料基準額は</w:t>
      </w:r>
      <w:r>
        <w:rPr>
          <w:rFonts w:ascii="游明朝" w:cs="游明朝" w:eastAsia="游明朝" w:hAnsi="游明朝"/>
          <w:b/>
          <w:bCs/>
          <w:color w:val="1F3864"/>
          <w:sz w:val="21"/>
          <w:szCs w:val="21"/>
        </w:rPr>
        <w:t xml:space="preserve">月額6,500円</w:t>
      </w:r>
      <w:r>
        <w:rPr>
          <w:rFonts w:ascii="游明朝" w:cs="游明朝" w:eastAsia="游明朝" w:hAnsi="游明朝"/>
          <w:b w:val="false"/>
          <w:bCs w:val="false"/>
          <w:color w:val="262626"/>
          <w:sz w:val="21"/>
          <w:szCs w:val="21"/>
        </w:rPr>
        <w:t xml:space="preserve">で、これは宮城県内35市町村中で</w:t>
      </w:r>
      <w:r>
        <w:rPr>
          <w:rFonts w:ascii="游明朝" w:cs="游明朝" w:eastAsia="游明朝" w:hAnsi="游明朝"/>
          <w:b/>
          <w:bCs/>
          <w:color w:val="C55A11"/>
          <w:sz w:val="21"/>
          <w:szCs w:val="21"/>
        </w:rPr>
        <w:t xml:space="preserve">上位グループ（第10〜12位）</w:t>
      </w:r>
      <w:r>
        <w:rPr>
          <w:rFonts w:ascii="游明朝" w:cs="游明朝" w:eastAsia="游明朝" w:hAnsi="游明朝"/>
          <w:b w:val="false"/>
          <w:bCs w:val="false"/>
          <w:color w:val="262626"/>
          <w:sz w:val="21"/>
          <w:szCs w:val="21"/>
        </w:rPr>
        <w:t xml:space="preserve">、県加重平均6,098円を</w:t>
      </w:r>
      <w:r>
        <w:rPr>
          <w:rFonts w:ascii="游明朝" w:cs="游明朝" w:eastAsia="游明朝" w:hAnsi="游明朝"/>
          <w:b/>
          <w:bCs/>
          <w:color w:val="C55A11"/>
          <w:sz w:val="21"/>
          <w:szCs w:val="21"/>
        </w:rPr>
        <w:t xml:space="preserve">+402円上回る水準</w:t>
      </w:r>
      <w:r>
        <w:rPr>
          <w:rFonts w:ascii="游明朝" w:cs="游明朝" w:eastAsia="游明朝" w:hAnsi="游明朝"/>
          <w:b w:val="false"/>
          <w:bCs w:val="false"/>
          <w:color w:val="262626"/>
          <w:sz w:val="21"/>
          <w:szCs w:val="21"/>
        </w:rPr>
        <w:t xml:space="preserve">です。仙南圏域9市町の中では</w:t>
      </w:r>
      <w:r>
        <w:rPr>
          <w:rFonts w:ascii="游明朝" w:cs="游明朝" w:eastAsia="游明朝" w:hAnsi="游明朝"/>
          <w:b/>
          <w:bCs/>
          <w:color w:val="C00000"/>
          <w:sz w:val="21"/>
          <w:szCs w:val="21"/>
        </w:rPr>
        <w:t xml:space="preserve">最高水準タイ</w:t>
      </w:r>
      <w:r>
        <w:rPr>
          <w:rFonts w:ascii="游明朝" w:cs="游明朝" w:eastAsia="游明朝" w:hAnsi="游明朝"/>
          <w:b w:val="false"/>
          <w:bCs w:val="false"/>
          <w:color w:val="262626"/>
          <w:sz w:val="21"/>
          <w:szCs w:val="21"/>
        </w:rPr>
        <w:t xml:space="preserve">（村田町・丸森町と同額）に位置します。一方で第8期からの上昇は</w:t>
      </w:r>
      <w:r>
        <w:rPr>
          <w:rFonts w:ascii="游明朝" w:cs="游明朝" w:eastAsia="游明朝" w:hAnsi="游明朝"/>
          <w:b/>
          <w:bCs/>
          <w:color w:val="548235"/>
          <w:sz w:val="21"/>
          <w:szCs w:val="21"/>
        </w:rPr>
        <w:t xml:space="preserve">+120円（+1.9%）</w:t>
      </w:r>
      <w:r>
        <w:rPr>
          <w:rFonts w:ascii="游明朝" w:cs="游明朝" w:eastAsia="游明朝" w:hAnsi="游明朝"/>
          <w:b w:val="false"/>
          <w:bCs w:val="false"/>
          <w:color w:val="262626"/>
          <w:sz w:val="21"/>
          <w:szCs w:val="21"/>
        </w:rPr>
        <w:t xml:space="preserve">にとどまり、上昇率では県（+2.7%）・全国（+3.5%）を下回る抑制的な伸びでした。</w:t>
      </w:r>
    </w:p>
    <w:p>
      <w:pPr>
        <w:pBdr>
          <w:top w:val="single" w:color="FCE4D6" w:sz="2" w:space="4"/>
          <w:left w:val="single" w:color="C55A11" w:sz="18" w:space="10"/>
          <w:bottom w:val="single" w:color="FCE4D6" w:sz="2" w:space="4"/>
        </w:pBdr>
        <w:shd w:fill="FCE4D6" w:val="clear"/>
        <w:spacing w:after="140" w:before="80"/>
      </w:pPr>
      <w:r>
        <w:rPr>
          <w:rFonts w:ascii="游ゴシック" w:cs="游ゴシック" w:eastAsia="游ゴシック" w:hAnsi="游ゴシック"/>
          <w:b/>
          <w:bCs/>
          <w:color w:val="1F3864"/>
          <w:sz w:val="21"/>
          <w:szCs w:val="21"/>
        </w:rPr>
        <w:t xml:space="preserve">● 「保険料水準（額）」は県内上位、「上昇率（伸び）」は抑制的。この2つは別の指標であり、計画書では明確に区別して記載する必要がある。</w:t>
      </w:r>
    </w:p>
    <w:p>
      <w:pPr>
        <w:spacing w:after="120" w:line="300"/>
        <w:jc w:val="both"/>
      </w:pPr>
      <w:r>
        <w:rPr>
          <w:rFonts w:ascii="游明朝" w:cs="游明朝" w:eastAsia="游明朝" w:hAnsi="游明朝"/>
          <w:b w:val="false"/>
          <w:bCs w:val="false"/>
          <w:color w:val="262626"/>
          <w:sz w:val="21"/>
          <w:szCs w:val="21"/>
        </w:rPr>
        <w:t xml:space="preserve">この上位水準は、</w:t>
      </w:r>
      <w:r>
        <w:rPr>
          <w:rFonts w:ascii="游明朝" w:cs="游明朝" w:eastAsia="游明朝" w:hAnsi="游明朝"/>
          <w:b/>
          <w:bCs/>
          <w:color w:val="262626"/>
          <w:sz w:val="21"/>
          <w:szCs w:val="21"/>
        </w:rPr>
        <w:t xml:space="preserve">高齢化率41.4%（県内5位）・後期高齢者比率51.6%・施設サービス給付比率46.0%</w:t>
      </w:r>
      <w:r>
        <w:rPr>
          <w:rFonts w:ascii="游明朝" w:cs="游明朝" w:eastAsia="游明朝" w:hAnsi="游明朝"/>
          <w:b w:val="false"/>
          <w:bCs w:val="false"/>
          <w:color w:val="262626"/>
          <w:sz w:val="21"/>
          <w:szCs w:val="21"/>
        </w:rPr>
        <w:t xml:space="preserve">という構造的要因と整合的であり、保険者努力の不足を示すものではありません。むしろ介護予防・基金活用・高収納率により上昇を抑え込んできた結果と評価できます。第10期に向けては、</w:t>
      </w:r>
      <w:r>
        <w:rPr>
          <w:rFonts w:ascii="游明朝" w:cs="游明朝" w:eastAsia="游明朝" w:hAnsi="游明朝"/>
          <w:b/>
          <w:bCs/>
          <w:color w:val="C00000"/>
          <w:sz w:val="21"/>
          <w:szCs w:val="21"/>
        </w:rPr>
        <w:t xml:space="preserve">「県平均・県内最低水準」といった断定的表現を避け</w:t>
      </w:r>
      <w:r>
        <w:rPr>
          <w:rFonts w:ascii="游明朝" w:cs="游明朝" w:eastAsia="游明朝" w:hAnsi="游明朝"/>
          <w:b w:val="false"/>
          <w:bCs w:val="false"/>
          <w:color w:val="262626"/>
          <w:sz w:val="21"/>
          <w:szCs w:val="21"/>
        </w:rPr>
        <w:t xml:space="preserve">、高齢化度に見合った妥当な水準であることを構造的に説明する方針を推奨します。</w:t>
      </w:r>
    </w:p>
    <w:p>
      <w:pPr>
        <w:pBdr>
          <w:top w:val="single" w:color="1F3864" w:sz="2" w:space="6"/>
          <w:bottom w:val="single" w:color="1F3864" w:sz="2" w:space="6"/>
        </w:pBdr>
        <w:shd w:fill="1F3864" w:val="clear"/>
        <w:spacing w:after="160" w:before="320"/>
      </w:pPr>
      <w:r>
        <w:rPr>
          <w:rFonts w:ascii="游ゴシック" w:cs="游ゴシック" w:eastAsia="游ゴシック" w:hAnsi="游ゴシック"/>
          <w:b/>
          <w:bCs/>
          <w:color w:val="FFC000"/>
          <w:sz w:val="26"/>
          <w:szCs w:val="26"/>
        </w:rPr>
        <w:t xml:space="preserve">  1  </w:t>
      </w:r>
      <w:r>
        <w:rPr>
          <w:rFonts w:ascii="游ゴシック" w:cs="游ゴシック" w:eastAsia="游ゴシック" w:hAnsi="游ゴシック"/>
          <w:b/>
          <w:bCs/>
          <w:color w:val="FFFFFF"/>
          <w:sz w:val="26"/>
          <w:szCs w:val="26"/>
        </w:rPr>
        <w:t xml:space="preserve">分析の目的とデータ前提</w:t>
      </w:r>
    </w:p>
    <w:p>
      <w:pPr>
        <w:pBdr>
          <w:left w:val="single" w:color="2E75B6" w:sz="18" w:space="8"/>
        </w:pBdr>
        <w:spacing w:after="100" w:before="220"/>
      </w:pPr>
      <w:r>
        <w:rPr>
          <w:rFonts w:ascii="游ゴシック" w:cs="游ゴシック" w:eastAsia="游ゴシック" w:hAnsi="游ゴシック"/>
          <w:b/>
          <w:bCs/>
          <w:color w:val="1F3864"/>
          <w:sz w:val="23"/>
          <w:szCs w:val="23"/>
        </w:rPr>
        <w:t xml:space="preserve"> 目的</w:t>
      </w:r>
    </w:p>
    <w:p>
      <w:pPr>
        <w:spacing w:after="120" w:line="300"/>
        <w:jc w:val="both"/>
      </w:pPr>
      <w:r>
        <w:rPr>
          <w:rFonts w:ascii="游明朝" w:cs="游明朝" w:eastAsia="游明朝" w:hAnsi="游明朝"/>
          <w:color w:val="262626"/>
          <w:sz w:val="21"/>
          <w:szCs w:val="21"/>
        </w:rPr>
        <w:t xml:space="preserve">本レポートは、第10期保険料試算（第7章 7-3）の前提整理として、川崎町の第9期保険料を宮城県内・仙南圏域の他団体と比較し、その水準の位置づけ・要因・施策の妥当性を分析するものです。第1回〜第3回策定委員会での説明材料、及び計画書本文（第7章）の記述精緻化に用います。</w:t>
      </w:r>
    </w:p>
    <w:p>
      <w:pPr>
        <w:pBdr>
          <w:left w:val="single" w:color="2E75B6" w:sz="18" w:space="8"/>
        </w:pBdr>
        <w:spacing w:after="100" w:before="220"/>
      </w:pPr>
      <w:r>
        <w:rPr>
          <w:rFonts w:ascii="游ゴシック" w:cs="游ゴシック" w:eastAsia="游ゴシック" w:hAnsi="游ゴシック"/>
          <w:b/>
          <w:bCs/>
          <w:color w:val="1F3864"/>
          <w:sz w:val="23"/>
          <w:szCs w:val="23"/>
        </w:rPr>
        <w:t xml:space="preserve"> 使用データの出典</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000"/>
      </w:tblGrid>
      <w:tr>
        <w:trPr>
          <w:tblHeader/>
        </w:trPr>
        <w:tc>
          <w:tcPr>
            <w:tcW w:type="dxa" w:w="14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区分</w:t>
            </w:r>
          </w:p>
        </w:tc>
        <w:tc>
          <w:tcPr>
            <w:tcW w:type="dxa" w:w="44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データ</w:t>
            </w:r>
          </w:p>
        </w:tc>
        <w:tc>
          <w:tcPr>
            <w:tcW w:type="dxa" w:w="30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出典</w:t>
            </w:r>
          </w:p>
        </w:tc>
      </w:tr>
      <w:tr>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県内比較</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宮城県35市町村別 第8期・第9期保険料基準月額（確定値）</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宮城県「市町村別保険料（月額）一覧」</w:t>
            </w:r>
          </w:p>
        </w:tc>
      </w:tr>
      <w:tr>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全国</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全国加重平均 第9期6,225円／第8期6,014円</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厚労省「第9期保険料及びサービス見込み量等について」</w:t>
            </w:r>
          </w:p>
        </w:tc>
      </w:tr>
      <w:tr>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本町実績</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川崎町 第8期6,380円・第9期6,500円、給付費9.6億円、所得段階別人数等</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保険者データ（R7.6）・年報データ（R3）・MECE版データ</w:t>
            </w:r>
          </w:p>
        </w:tc>
      </w:tr>
    </w:tbl>
    <w:p>
      <w:pPr>
        <w:spacing w:after="120"/>
      </w:pPr>
      <w:r>
        <w:rPr>
          <w:rFonts w:ascii="游明朝" w:cs="游明朝" w:eastAsia="游明朝" w:hAnsi="游明朝"/>
          <w:i/>
          <w:iCs/>
          <w:color w:val="808080"/>
          <w:sz w:val="17"/>
          <w:szCs w:val="17"/>
        </w:rPr>
        <w:t xml:space="preserve">※ 宮城県公表値の川崎町第9期6,500円・第8期6,380円は、本町MECE版データと完全一致しており、データの信頼性が相互に確認されている。</w:t>
      </w:r>
    </w:p>
    <w:p>
      <w:r>
        <w:br w:type="page"/>
      </w:r>
    </w:p>
    <w:p>
      <w:pPr>
        <w:pBdr>
          <w:top w:val="single" w:color="1F3864" w:sz="2" w:space="6"/>
          <w:bottom w:val="single" w:color="1F3864" w:sz="2" w:space="6"/>
        </w:pBdr>
        <w:shd w:fill="1F3864" w:val="clear"/>
        <w:spacing w:after="160" w:before="320"/>
      </w:pPr>
      <w:r>
        <w:rPr>
          <w:rFonts w:ascii="游ゴシック" w:cs="游ゴシック" w:eastAsia="游ゴシック" w:hAnsi="游ゴシック"/>
          <w:b/>
          <w:bCs/>
          <w:color w:val="FFC000"/>
          <w:sz w:val="26"/>
          <w:szCs w:val="26"/>
        </w:rPr>
        <w:t xml:space="preserve">  2  </w:t>
      </w:r>
      <w:r>
        <w:rPr>
          <w:rFonts w:ascii="游ゴシック" w:cs="游ゴシック" w:eastAsia="游ゴシック" w:hAnsi="游ゴシック"/>
          <w:b/>
          <w:bCs/>
          <w:color w:val="FFFFFF"/>
          <w:sz w:val="26"/>
          <w:szCs w:val="26"/>
        </w:rPr>
        <w:t xml:space="preserve">宮城県内35市町村における川崎町の位置</w:t>
      </w:r>
    </w:p>
    <w:p>
      <w:pPr>
        <w:spacing w:after="120" w:line="300"/>
        <w:jc w:val="both"/>
      </w:pPr>
      <w:r>
        <w:rPr>
          <w:rFonts w:ascii="游明朝" w:cs="游明朝" w:eastAsia="游明朝" w:hAnsi="游明朝"/>
          <w:color w:val="262626"/>
          <w:sz w:val="21"/>
          <w:szCs w:val="21"/>
        </w:rPr>
        <w:t xml:space="preserve">宮城県内35市町村の第9期保険料基準額（月額）を高い順に並べると、川崎町6,500円は上位グループに位置します。下表は全35市町村のランキングです（網掛けは川崎町・県加重平均）。</w:t>
      </w:r>
    </w:p>
    <w:p>
      <w:pPr>
        <w:spacing w:after="40" w:before="60"/>
      </w:pPr>
      <w:r>
        <w:rPr>
          <w:rFonts w:ascii="游ゴシック" w:cs="游ゴシック" w:eastAsia="游ゴシック" w:hAnsi="游ゴシック"/>
          <w:b/>
          <w:bCs/>
          <w:color w:val="1F3864"/>
          <w:sz w:val="20"/>
          <w:szCs w:val="20"/>
        </w:rPr>
        <w:t xml:space="preserve">表2-1　宮城県内35市町村 第9期保険料基準月額ランキング（高い順）</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500"/>
        <w:gridCol w:w="1500"/>
        <w:gridCol w:w="1300"/>
        <w:gridCol w:w="1500"/>
      </w:tblGrid>
      <w:tr>
        <w:trPr>
          <w:tblHeader/>
        </w:trPr>
        <w:tc>
          <w:tcPr>
            <w:tcW w:type="dxa" w:w="9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順位</w:t>
            </w:r>
          </w:p>
        </w:tc>
        <w:tc>
          <w:tcPr>
            <w:tcW w:type="dxa" w:w="21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市町村</w:t>
            </w:r>
          </w:p>
        </w:tc>
        <w:tc>
          <w:tcPr>
            <w:tcW w:type="dxa" w:w="15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第9期(円)</w:t>
            </w:r>
          </w:p>
        </w:tc>
        <w:tc>
          <w:tcPr>
            <w:tcW w:type="dxa" w:w="15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第8期(円)</w:t>
            </w:r>
          </w:p>
        </w:tc>
        <w:tc>
          <w:tcPr>
            <w:tcW w:type="dxa" w:w="13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増減(円)</w:t>
            </w:r>
          </w:p>
        </w:tc>
        <w:tc>
          <w:tcPr>
            <w:tcW w:type="dxa" w:w="15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対県平均</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1</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登米市</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6,950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6,000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+950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C55A11"/>
                <w:sz w:val="19"/>
                <w:szCs w:val="19"/>
              </w:rPr>
              <w:t xml:space="preserve">+852</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2</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大郷町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6,800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6,300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C55A11"/>
                <w:sz w:val="19"/>
                <w:szCs w:val="19"/>
              </w:rPr>
              <w:t xml:space="preserve">+702</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3</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名取市</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6,660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5,590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+1070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C55A11"/>
                <w:sz w:val="19"/>
                <w:szCs w:val="19"/>
              </w:rPr>
              <w:t xml:space="preserve">+562</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4</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七ヶ浜町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6,600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6,200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+400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C55A11"/>
                <w:sz w:val="19"/>
                <w:szCs w:val="19"/>
              </w:rPr>
              <w:t xml:space="preserve">+502</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4</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大衡村</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6,600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7,000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-400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C55A11"/>
                <w:sz w:val="19"/>
                <w:szCs w:val="19"/>
              </w:rPr>
              <w:t xml:space="preserve">+502</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4</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色麻町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6,600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5,600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+1000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C55A11"/>
                <w:sz w:val="19"/>
                <w:szCs w:val="19"/>
              </w:rPr>
              <w:t xml:space="preserve">+502</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4</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加美町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6,600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6,300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+300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C55A11"/>
                <w:sz w:val="19"/>
                <w:szCs w:val="19"/>
              </w:rPr>
              <w:t xml:space="preserve">+502</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8</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大和町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6,520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6,520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C55A11"/>
                <w:sz w:val="19"/>
                <w:szCs w:val="19"/>
              </w:rPr>
              <w:t xml:space="preserve">+422</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9</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岩沼市</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6,507</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6,325</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+182</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C55A11"/>
                <w:sz w:val="19"/>
                <w:szCs w:val="19"/>
              </w:rPr>
              <w:t xml:space="preserve">+409</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10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村田町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6,500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6,200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+300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C55A11"/>
                <w:sz w:val="19"/>
                <w:szCs w:val="19"/>
              </w:rPr>
              <w:t xml:space="preserve">+402</w:t>
            </w:r>
          </w:p>
        </w:tc>
      </w:tr>
      <w:tr>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10</w:t>
            </w:r>
          </w:p>
        </w:tc>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left"/>
            </w:pPr>
            <w:r>
              <w:rPr>
                <w:rFonts w:ascii="游明朝" w:cs="游明朝" w:eastAsia="游明朝" w:hAnsi="游明朝"/>
                <w:b/>
                <w:bCs/>
                <w:color w:val="C55A11"/>
                <w:sz w:val="19"/>
                <w:szCs w:val="19"/>
              </w:rPr>
              <w:t xml:space="preserve">川崎町</w:t>
            </w:r>
          </w:p>
        </w:tc>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6,500</w:t>
            </w:r>
          </w:p>
        </w:tc>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6,380</w:t>
            </w:r>
          </w:p>
        </w:tc>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+120</w:t>
            </w:r>
          </w:p>
        </w:tc>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center"/>
            </w:pPr>
            <w:r>
              <w:rPr>
                <w:rFonts w:ascii="游明朝" w:cs="游明朝" w:eastAsia="游明朝" w:hAnsi="游明朝"/>
                <w:b/>
                <w:bCs/>
                <w:color w:val="C55A11"/>
                <w:sz w:val="19"/>
                <w:szCs w:val="19"/>
              </w:rPr>
              <w:t xml:space="preserve">+402</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10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丸森町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6,500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6,060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+440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C55A11"/>
                <w:sz w:val="19"/>
                <w:szCs w:val="19"/>
              </w:rPr>
              <w:t xml:space="preserve">+402</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13</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松島町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6,400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6,600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-200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C55A11"/>
                <w:sz w:val="19"/>
                <w:szCs w:val="19"/>
              </w:rPr>
              <w:t xml:space="preserve">+302</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14</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大崎市</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6,370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6,370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C55A11"/>
                <w:sz w:val="19"/>
                <w:szCs w:val="19"/>
              </w:rPr>
              <w:t xml:space="preserve">+272</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15</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栗原市</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6,300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6,300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C55A11"/>
                <w:sz w:val="19"/>
                <w:szCs w:val="19"/>
              </w:rPr>
              <w:t xml:space="preserve">+202</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16</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多賀城市</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6,200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5,800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+400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C55A11"/>
                <w:sz w:val="19"/>
                <w:szCs w:val="19"/>
              </w:rPr>
              <w:t xml:space="preserve">+102</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17</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女川町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6,100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5,800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+300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C55A11"/>
                <w:sz w:val="19"/>
                <w:szCs w:val="19"/>
              </w:rPr>
              <w:t xml:space="preserve">+2</w:t>
            </w:r>
          </w:p>
        </w:tc>
      </w:tr>
      <w:tr>
        <w:tc>
          <w:tcPr>
            <w:tcBorders>
              <w:top w:val="single" w:color="808080" w:sz="4"/>
              <w:left w:val="single" w:color="808080" w:sz="4"/>
              <w:bottom w:val="single" w:color="808080" w:sz="4"/>
              <w:right w:val="single" w:color="808080" w:sz="4"/>
            </w:tcBorders>
            <w:shd w:fill="BDD7EE"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w:t>
            </w:r>
          </w:p>
        </w:tc>
        <w:tc>
          <w:tcPr>
            <w:tcBorders>
              <w:top w:val="single" w:color="808080" w:sz="4"/>
              <w:left w:val="single" w:color="808080" w:sz="4"/>
              <w:bottom w:val="single" w:color="808080" w:sz="4"/>
              <w:right w:val="single" w:color="808080" w:sz="4"/>
            </w:tcBorders>
            <w:shd w:fill="BDD7EE"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県加重平均</w:t>
            </w:r>
          </w:p>
        </w:tc>
        <w:tc>
          <w:tcPr>
            <w:tcBorders>
              <w:top w:val="single" w:color="808080" w:sz="4"/>
              <w:left w:val="single" w:color="808080" w:sz="4"/>
              <w:bottom w:val="single" w:color="808080" w:sz="4"/>
              <w:right w:val="single" w:color="808080" w:sz="4"/>
            </w:tcBorders>
            <w:shd w:fill="BDD7EE"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6,098</w:t>
            </w:r>
          </w:p>
        </w:tc>
        <w:tc>
          <w:tcPr>
            <w:tcBorders>
              <w:top w:val="single" w:color="808080" w:sz="4"/>
              <w:left w:val="single" w:color="808080" w:sz="4"/>
              <w:bottom w:val="single" w:color="808080" w:sz="4"/>
              <w:right w:val="single" w:color="808080" w:sz="4"/>
            </w:tcBorders>
            <w:shd w:fill="BDD7EE" w:val="clear"/>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5,939</w:t>
            </w:r>
          </w:p>
        </w:tc>
        <w:tc>
          <w:tcPr>
            <w:tcBorders>
              <w:top w:val="single" w:color="808080" w:sz="4"/>
              <w:left w:val="single" w:color="808080" w:sz="4"/>
              <w:bottom w:val="single" w:color="808080" w:sz="4"/>
              <w:right w:val="single" w:color="808080" w:sz="4"/>
            </w:tcBorders>
            <w:shd w:fill="BDD7EE" w:val="clear"/>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+159</w:t>
            </w:r>
          </w:p>
        </w:tc>
        <w:tc>
          <w:tcPr>
            <w:tcBorders>
              <w:top w:val="single" w:color="808080" w:sz="4"/>
              <w:left w:val="single" w:color="808080" w:sz="4"/>
              <w:bottom w:val="single" w:color="808080" w:sz="4"/>
              <w:right w:val="single" w:color="808080" w:sz="4"/>
            </w:tcBorders>
            <w:shd w:fill="BDD7EE" w:val="clear"/>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18</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仙台市</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6,079</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6,001</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+78</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-19</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19</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塩竈市</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6,010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6,000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+10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-88</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20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涌谷町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6,000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6,000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-98</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20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南三陸町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6,000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6,000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-98</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22</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七ヶ宿町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5,950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5,450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-148</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23</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石巻市</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5,900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5,900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-198</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23</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気仙沼市</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5,900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5,500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+400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-198</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23</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東松島市</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5,900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5,500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+400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-198</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26</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角田市</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5,800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5,700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+100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-298</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26</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美里町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5,800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5,800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-298</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28</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富谷市</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5,750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5,750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-348</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29</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白石市</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5,600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5,600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-498</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29</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柴田町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5,600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5,600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-498</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29</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亘理町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5,600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5,850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-250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-498</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32</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山元町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5,500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5,500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-598</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33</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蔵王町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5,400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4,800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-698</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33</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利府町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5,400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5,400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-698</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35</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大河原町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4,000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3,800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+200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-2098</w:t>
            </w:r>
          </w:p>
        </w:tc>
      </w:tr>
    </w:tbl>
    <w:p>
      <w:pPr>
        <w:spacing w:after="120"/>
      </w:pPr>
      <w:r>
        <w:rPr>
          <w:rFonts w:ascii="游明朝" w:cs="游明朝" w:eastAsia="游明朝" w:hAnsi="游明朝"/>
          <w:i/>
          <w:iCs/>
          <w:color w:val="808080"/>
          <w:sz w:val="17"/>
          <w:szCs w:val="17"/>
        </w:rPr>
        <w:t xml:space="preserve">出典：宮城県「市町村別保険料（月額）一覧」（第9期R6〜R8／参考：第8期）。順位は同額を同順位として表示。</w:t>
      </w:r>
    </w:p>
    <w:p>
      <w:pPr>
        <w:pBdr>
          <w:left w:val="single" w:color="2E75B6" w:sz="18" w:space="8"/>
        </w:pBdr>
        <w:spacing w:after="100" w:before="220"/>
      </w:pPr>
      <w:r>
        <w:rPr>
          <w:rFonts w:ascii="游ゴシック" w:cs="游ゴシック" w:eastAsia="游ゴシック" w:hAnsi="游ゴシック"/>
          <w:b/>
          <w:bCs/>
          <w:color w:val="1F3864"/>
          <w:sz w:val="23"/>
          <w:szCs w:val="23"/>
        </w:rPr>
        <w:t xml:space="preserve"> 読み取り</w:t>
      </w:r>
    </w:p>
    <w:p>
      <w:pPr>
        <w:spacing w:after="120" w:line="300"/>
        <w:jc w:val="both"/>
      </w:pPr>
      <w:r>
        <w:rPr>
          <w:rFonts w:ascii="游明朝" w:cs="游明朝" w:eastAsia="游明朝" w:hAnsi="游明朝"/>
          <w:b w:val="false"/>
          <w:bCs w:val="false"/>
          <w:color w:val="262626"/>
          <w:sz w:val="21"/>
          <w:szCs w:val="21"/>
        </w:rPr>
        <w:t xml:space="preserve">川崎町6,500円より高い団体は9市町村（登米市・大郷町・名取市・七ヶ浜町・大衡村・色麻町・加美町・大和町・岩沼市）で、川崎町は村田町・丸森町と並んで</w:t>
      </w:r>
      <w:r>
        <w:rPr>
          <w:rFonts w:ascii="游明朝" w:cs="游明朝" w:eastAsia="游明朝" w:hAnsi="游明朝"/>
          <w:b/>
          <w:bCs/>
          <w:color w:val="C55A11"/>
          <w:sz w:val="21"/>
          <w:szCs w:val="21"/>
        </w:rPr>
        <w:t xml:space="preserve">第10〜12位タイ</w:t>
      </w:r>
      <w:r>
        <w:rPr>
          <w:rFonts w:ascii="游明朝" w:cs="游明朝" w:eastAsia="游明朝" w:hAnsi="游明朝"/>
          <w:b w:val="false"/>
          <w:bCs w:val="false"/>
          <w:color w:val="262626"/>
          <w:sz w:val="21"/>
          <w:szCs w:val="21"/>
        </w:rPr>
        <w:t xml:space="preserve">。県加重平均6,098円を上回る団体は17市町村あり、川崎町はその一角を</w:t>
      </w:r>
      <w:r>
        <w:rPr>
          <w:rFonts w:ascii="游明朝" w:cs="游明朝" w:eastAsia="游明朝" w:hAnsi="游明朝"/>
          <w:b/>
          <w:bCs/>
          <w:color w:val="C55A11"/>
          <w:sz w:val="21"/>
          <w:szCs w:val="21"/>
        </w:rPr>
        <w:t xml:space="preserve">+402円</w:t>
      </w:r>
      <w:r>
        <w:rPr>
          <w:rFonts w:ascii="游明朝" w:cs="游明朝" w:eastAsia="游明朝" w:hAnsi="游明朝"/>
          <w:b w:val="false"/>
          <w:bCs w:val="false"/>
          <w:color w:val="262626"/>
          <w:sz w:val="21"/>
          <w:szCs w:val="21"/>
        </w:rPr>
        <w:t xml:space="preserve">で占めます。全国加重平均6,225円と比べても</w:t>
      </w:r>
      <w:r>
        <w:rPr>
          <w:rFonts w:ascii="游明朝" w:cs="游明朝" w:eastAsia="游明朝" w:hAnsi="游明朝"/>
          <w:b/>
          <w:bCs/>
          <w:color w:val="262626"/>
          <w:sz w:val="21"/>
          <w:szCs w:val="21"/>
        </w:rPr>
        <w:t xml:space="preserve">+275円</w:t>
      </w:r>
      <w:r>
        <w:rPr>
          <w:rFonts w:ascii="游明朝" w:cs="游明朝" w:eastAsia="游明朝" w:hAnsi="游明朝"/>
          <w:b w:val="false"/>
          <w:bCs w:val="false"/>
          <w:color w:val="262626"/>
          <w:sz w:val="21"/>
          <w:szCs w:val="21"/>
        </w:rPr>
        <w:t xml:space="preserve">上回ります。</w:t>
      </w:r>
    </w:p>
    <w:p>
      <w:pPr>
        <w:pBdr>
          <w:top w:val="single" w:color="FCE4D6" w:sz="2" w:space="4"/>
          <w:left w:val="single" w:color="C55A11" w:sz="18" w:space="10"/>
          <w:bottom w:val="single" w:color="FCE4D6" w:sz="2" w:space="4"/>
        </w:pBdr>
        <w:shd w:fill="FCE4D6" w:val="clear"/>
        <w:spacing w:after="140" w:before="80"/>
      </w:pPr>
      <w:r>
        <w:rPr>
          <w:rFonts w:ascii="游ゴシック" w:cs="游ゴシック" w:eastAsia="游ゴシック" w:hAnsi="游ゴシック"/>
          <w:b/>
          <w:bCs/>
          <w:color w:val="1F3864"/>
          <w:sz w:val="21"/>
          <w:szCs w:val="21"/>
        </w:rPr>
        <w:t xml:space="preserve">● 川崎町6,500円は「県内上位グループ（上位3分の1圏）」。県平均水準・抑制的水準という表現は実態と整合しない。</w:t>
      </w:r>
    </w:p>
    <w:p>
      <w:r>
        <w:br w:type="page"/>
      </w:r>
    </w:p>
    <w:p>
      <w:pPr>
        <w:pBdr>
          <w:top w:val="single" w:color="1F3864" w:sz="2" w:space="6"/>
          <w:bottom w:val="single" w:color="1F3864" w:sz="2" w:space="6"/>
        </w:pBdr>
        <w:shd w:fill="1F3864" w:val="clear"/>
        <w:spacing w:after="160" w:before="320"/>
      </w:pPr>
      <w:r>
        <w:rPr>
          <w:rFonts w:ascii="游ゴシック" w:cs="游ゴシック" w:eastAsia="游ゴシック" w:hAnsi="游ゴシック"/>
          <w:b/>
          <w:bCs/>
          <w:color w:val="FFC000"/>
          <w:sz w:val="26"/>
          <w:szCs w:val="26"/>
        </w:rPr>
        <w:t xml:space="preserve">  3  </w:t>
      </w:r>
      <w:r>
        <w:rPr>
          <w:rFonts w:ascii="游ゴシック" w:cs="游ゴシック" w:eastAsia="游ゴシック" w:hAnsi="游ゴシック"/>
          <w:b/>
          <w:bCs/>
          <w:color w:val="FFFFFF"/>
          <w:sz w:val="26"/>
          <w:szCs w:val="26"/>
        </w:rPr>
        <w:t xml:space="preserve">仙南圏域9市町での比較（最も適切な比較群）</w:t>
      </w:r>
    </w:p>
    <w:p>
      <w:pPr>
        <w:spacing w:after="120" w:line="300"/>
        <w:jc w:val="both"/>
      </w:pPr>
      <w:r>
        <w:rPr>
          <w:rFonts w:ascii="游明朝" w:cs="游明朝" w:eastAsia="游明朝" w:hAnsi="游明朝"/>
          <w:color w:val="262626"/>
          <w:sz w:val="21"/>
          <w:szCs w:val="21"/>
        </w:rPr>
        <w:t xml:space="preserve">川崎町が属する仙南圏域（老人福祉圏域）は、白石市・角田市の2市と、蔵王町・七ヶ宿町・大河原町・村田町・柴田町・川崎町・丸森町の7町で構成されます。広域連携・施設配置の実態を共有する最も適切な比較群です。</w:t>
      </w:r>
    </w:p>
    <w:p>
      <w:pPr>
        <w:spacing w:after="40" w:before="60"/>
      </w:pPr>
      <w:r>
        <w:rPr>
          <w:rFonts w:ascii="游ゴシック" w:cs="游ゴシック" w:eastAsia="游ゴシック" w:hAnsi="游ゴシック"/>
          <w:b/>
          <w:bCs/>
          <w:color w:val="1F3864"/>
          <w:sz w:val="20"/>
          <w:szCs w:val="20"/>
        </w:rPr>
        <w:t xml:space="preserve">表3-1　仙南圏域9市町 第9期保険料比較（高い順）</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300"/>
        <w:gridCol w:w="1700"/>
      </w:tblGrid>
      <w:tr>
        <w:trPr>
          <w:tblHeader/>
        </w:trPr>
        <w:tc>
          <w:tcPr>
            <w:tcW w:type="dxa" w:w="22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市町村</w:t>
            </w:r>
          </w:p>
        </w:tc>
        <w:tc>
          <w:tcPr>
            <w:tcW w:type="dxa" w:w="16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第9期(円)</w:t>
            </w:r>
          </w:p>
        </w:tc>
        <w:tc>
          <w:tcPr>
            <w:tcW w:type="dxa" w:w="16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第8期(円)</w:t>
            </w:r>
          </w:p>
        </w:tc>
        <w:tc>
          <w:tcPr>
            <w:tcW w:type="dxa" w:w="13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増減</w:t>
            </w:r>
          </w:p>
        </w:tc>
        <w:tc>
          <w:tcPr>
            <w:tcW w:type="dxa" w:w="17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仙南平均差</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村田町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6,500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6,200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+300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C55A11"/>
                <w:sz w:val="19"/>
                <w:szCs w:val="19"/>
              </w:rPr>
              <w:t xml:space="preserve">+739</w:t>
            </w:r>
          </w:p>
        </w:tc>
      </w:tr>
      <w:tr>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left"/>
            </w:pPr>
            <w:r>
              <w:rPr>
                <w:rFonts w:ascii="游明朝" w:cs="游明朝" w:eastAsia="游明朝" w:hAnsi="游明朝"/>
                <w:b/>
                <w:bCs/>
                <w:color w:val="C55A11"/>
                <w:sz w:val="19"/>
                <w:szCs w:val="19"/>
              </w:rPr>
              <w:t xml:space="preserve">川崎町</w:t>
            </w:r>
          </w:p>
        </w:tc>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6,500</w:t>
            </w:r>
          </w:p>
        </w:tc>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6,380</w:t>
            </w:r>
          </w:p>
        </w:tc>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+120</w:t>
            </w:r>
          </w:p>
        </w:tc>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center"/>
            </w:pPr>
            <w:r>
              <w:rPr>
                <w:rFonts w:ascii="游明朝" w:cs="游明朝" w:eastAsia="游明朝" w:hAnsi="游明朝"/>
                <w:b/>
                <w:bCs/>
                <w:color w:val="C55A11"/>
                <w:sz w:val="19"/>
                <w:szCs w:val="19"/>
              </w:rPr>
              <w:t xml:space="preserve">+739</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丸森町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6,500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6,060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+440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C55A11"/>
                <w:sz w:val="19"/>
                <w:szCs w:val="19"/>
              </w:rPr>
              <w:t xml:space="preserve">+739</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七ヶ宿町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5,950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5,450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C55A11"/>
                <w:sz w:val="19"/>
                <w:szCs w:val="19"/>
              </w:rPr>
              <w:t xml:space="preserve">+189</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角田市</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5,800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5,700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+100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C55A11"/>
                <w:sz w:val="19"/>
                <w:szCs w:val="19"/>
              </w:rPr>
              <w:t xml:space="preserve">+39</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白石市</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5,600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5,600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-161</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柴田町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5,600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5,600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-161</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蔵王町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5,400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4,800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-361</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大河原町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4,000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3,800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+200</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E75B6"/>
                <w:sz w:val="19"/>
                <w:szCs w:val="19"/>
              </w:rPr>
              <w:t xml:space="preserve">-1761</w:t>
            </w:r>
          </w:p>
        </w:tc>
      </w:tr>
      <w:tr>
        <w:tc>
          <w:tcPr>
            <w:tcBorders>
              <w:top w:val="single" w:color="808080" w:sz="4"/>
              <w:left w:val="single" w:color="808080" w:sz="4"/>
              <w:bottom w:val="single" w:color="808080" w:sz="4"/>
              <w:right w:val="single" w:color="808080" w:sz="4"/>
            </w:tcBorders>
            <w:shd w:fill="BDD7EE"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仙南圏域 単純平均</w:t>
            </w:r>
          </w:p>
        </w:tc>
        <w:tc>
          <w:tcPr>
            <w:tcBorders>
              <w:top w:val="single" w:color="808080" w:sz="4"/>
              <w:left w:val="single" w:color="808080" w:sz="4"/>
              <w:bottom w:val="single" w:color="808080" w:sz="4"/>
              <w:right w:val="single" w:color="808080" w:sz="4"/>
            </w:tcBorders>
            <w:shd w:fill="BDD7EE"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5,761</w:t>
            </w:r>
          </w:p>
        </w:tc>
        <w:tc>
          <w:tcPr>
            <w:tcBorders>
              <w:top w:val="single" w:color="808080" w:sz="4"/>
              <w:left w:val="single" w:color="808080" w:sz="4"/>
              <w:bottom w:val="single" w:color="808080" w:sz="4"/>
              <w:right w:val="single" w:color="808080" w:sz="4"/>
            </w:tcBorders>
            <w:shd w:fill="BDD7EE" w:val="clear"/>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w:t>
            </w:r>
          </w:p>
        </w:tc>
        <w:tc>
          <w:tcPr>
            <w:tcBorders>
              <w:top w:val="single" w:color="808080" w:sz="4"/>
              <w:left w:val="single" w:color="808080" w:sz="4"/>
              <w:bottom w:val="single" w:color="808080" w:sz="4"/>
              <w:right w:val="single" w:color="808080" w:sz="4"/>
            </w:tcBorders>
            <w:shd w:fill="BDD7EE" w:val="clear"/>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w:t>
            </w:r>
          </w:p>
        </w:tc>
        <w:tc>
          <w:tcPr>
            <w:tcBorders>
              <w:top w:val="single" w:color="808080" w:sz="4"/>
              <w:left w:val="single" w:color="808080" w:sz="4"/>
              <w:bottom w:val="single" w:color="808080" w:sz="4"/>
              <w:right w:val="single" w:color="808080" w:sz="4"/>
            </w:tcBorders>
            <w:shd w:fill="BDD7EE" w:val="clear"/>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w:t>
            </w:r>
          </w:p>
        </w:tc>
      </w:tr>
    </w:tbl>
    <w:p>
      <w:pPr>
        <w:spacing w:after="120"/>
      </w:pPr>
      <w:r>
        <w:rPr>
          <w:rFonts w:ascii="游明朝" w:cs="游明朝" w:eastAsia="游明朝" w:hAnsi="游明朝"/>
          <w:i/>
          <w:iCs/>
          <w:color w:val="808080"/>
          <w:sz w:val="17"/>
          <w:szCs w:val="17"/>
        </w:rPr>
        <w:t xml:space="preserve">出典：宮城県公表値より作成。仙南圏域単純平均＝5,761円（9市町の算術平均）。</w:t>
      </w:r>
    </w:p>
    <w:p>
      <w:pPr>
        <w:pBdr>
          <w:left w:val="single" w:color="2E75B6" w:sz="18" w:space="8"/>
        </w:pBdr>
        <w:spacing w:after="100" w:before="220"/>
      </w:pPr>
      <w:r>
        <w:rPr>
          <w:rFonts w:ascii="游ゴシック" w:cs="游ゴシック" w:eastAsia="游ゴシック" w:hAnsi="游ゴシック"/>
          <w:b/>
          <w:bCs/>
          <w:color w:val="1F3864"/>
          <w:sz w:val="23"/>
          <w:szCs w:val="23"/>
        </w:rPr>
        <w:t xml:space="preserve"> 読み取り</w:t>
      </w:r>
    </w:p>
    <w:p>
      <w:pPr>
        <w:spacing w:after="120" w:line="300"/>
        <w:jc w:val="both"/>
      </w:pPr>
      <w:r>
        <w:rPr>
          <w:rFonts w:ascii="游明朝" w:cs="游明朝" w:eastAsia="游明朝" w:hAnsi="游明朝"/>
          <w:b w:val="false"/>
          <w:bCs w:val="false"/>
          <w:color w:val="262626"/>
          <w:sz w:val="21"/>
          <w:szCs w:val="21"/>
        </w:rPr>
        <w:t xml:space="preserve">仙南圏域では川崎町6,500円が</w:t>
      </w:r>
      <w:r>
        <w:rPr>
          <w:rFonts w:ascii="游明朝" w:cs="游明朝" w:eastAsia="游明朝" w:hAnsi="游明朝"/>
          <w:b/>
          <w:bCs/>
          <w:color w:val="C00000"/>
          <w:sz w:val="21"/>
          <w:szCs w:val="21"/>
        </w:rPr>
        <w:t xml:space="preserve">最高水準（村田町・丸森町と同額）</w:t>
      </w:r>
      <w:r>
        <w:rPr>
          <w:rFonts w:ascii="游明朝" w:cs="游明朝" w:eastAsia="游明朝" w:hAnsi="游明朝"/>
          <w:b w:val="false"/>
          <w:bCs w:val="false"/>
          <w:color w:val="262626"/>
          <w:sz w:val="21"/>
          <w:szCs w:val="21"/>
        </w:rPr>
        <w:t xml:space="preserve">、圏域単純平均</w:t>
      </w:r>
      <w:r>
        <w:rPr>
          <w:rFonts w:ascii="游明朝" w:cs="游明朝" w:eastAsia="游明朝" w:hAnsi="游明朝"/>
          <w:b/>
          <w:bCs/>
          <w:color w:val="262626"/>
          <w:sz w:val="21"/>
          <w:szCs w:val="21"/>
        </w:rPr>
        <w:t xml:space="preserve">5,761円</w:t>
      </w:r>
      <w:r>
        <w:rPr>
          <w:rFonts w:ascii="游明朝" w:cs="游明朝" w:eastAsia="游明朝" w:hAnsi="游明朝"/>
          <w:b w:val="false"/>
          <w:bCs w:val="false"/>
          <w:color w:val="262626"/>
          <w:sz w:val="21"/>
          <w:szCs w:val="21"/>
        </w:rPr>
        <w:t xml:space="preserve">を</w:t>
      </w:r>
      <w:r>
        <w:rPr>
          <w:rFonts w:ascii="游明朝" w:cs="游明朝" w:eastAsia="游明朝" w:hAnsi="游明朝"/>
          <w:b/>
          <w:bCs/>
          <w:color w:val="C55A11"/>
          <w:sz w:val="21"/>
          <w:szCs w:val="21"/>
        </w:rPr>
        <w:t xml:space="preserve">+739円上回ります</w:t>
      </w:r>
      <w:r>
        <w:rPr>
          <w:rFonts w:ascii="游明朝" w:cs="游明朝" w:eastAsia="游明朝" w:hAnsi="游明朝"/>
          <w:b w:val="false"/>
          <w:bCs w:val="false"/>
          <w:color w:val="262626"/>
          <w:sz w:val="21"/>
          <w:szCs w:val="21"/>
        </w:rPr>
        <w:t xml:space="preserve">。最低の大河原町4,000円とは2,500円の差があります。</w:t>
      </w:r>
    </w:p>
    <w:p>
      <w:pPr>
        <w:spacing w:after="120" w:line="300"/>
        <w:jc w:val="both"/>
      </w:pPr>
      <w:r>
        <w:rPr>
          <w:rFonts w:ascii="游明朝" w:cs="游明朝" w:eastAsia="游明朝" w:hAnsi="游明朝"/>
          <w:b w:val="false"/>
          <w:bCs w:val="false"/>
          <w:color w:val="262626"/>
          <w:sz w:val="21"/>
          <w:szCs w:val="21"/>
        </w:rPr>
        <w:t xml:space="preserve">注目すべきは、川崎町と同等以上の高齢化が進む</w:t>
      </w:r>
      <w:r>
        <w:rPr>
          <w:rFonts w:ascii="游明朝" w:cs="游明朝" w:eastAsia="游明朝" w:hAnsi="游明朝"/>
          <w:b/>
          <w:bCs/>
          <w:color w:val="262626"/>
          <w:sz w:val="21"/>
          <w:szCs w:val="21"/>
        </w:rPr>
        <w:t xml:space="preserve">七ヶ宿町（県内最高齢の小規模町）が5,950円</w:t>
      </w:r>
      <w:r>
        <w:rPr>
          <w:rFonts w:ascii="游明朝" w:cs="游明朝" w:eastAsia="游明朝" w:hAnsi="游明朝"/>
          <w:b w:val="false"/>
          <w:bCs w:val="false"/>
          <w:color w:val="262626"/>
          <w:sz w:val="21"/>
          <w:szCs w:val="21"/>
        </w:rPr>
        <w:t xml:space="preserve">にとどまる点です。これは、給付費の絶対額が小さい超小規模町では1人当たり負担構造が異なること、施設サービスの有無等の</w:t>
      </w:r>
      <w:r>
        <w:rPr>
          <w:rFonts w:ascii="游明朝" w:cs="游明朝" w:eastAsia="游明朝" w:hAnsi="游明朝"/>
          <w:b/>
          <w:bCs/>
          <w:color w:val="262626"/>
          <w:sz w:val="21"/>
          <w:szCs w:val="21"/>
        </w:rPr>
        <w:t xml:space="preserve">給付構造の違い</w:t>
      </w:r>
      <w:r>
        <w:rPr>
          <w:rFonts w:ascii="游明朝" w:cs="游明朝" w:eastAsia="游明朝" w:hAnsi="游明朝"/>
          <w:b w:val="false"/>
          <w:bCs w:val="false"/>
          <w:color w:val="262626"/>
          <w:sz w:val="21"/>
          <w:szCs w:val="21"/>
        </w:rPr>
        <w:t xml:space="preserve">が保険料水準を左右することを示しており、「高齢化率＝保険料」という単純な比較ができないことを裏付けます。川崎町の上位水準は、後述する</w:t>
      </w:r>
      <w:r>
        <w:rPr>
          <w:rFonts w:ascii="游明朝" w:cs="游明朝" w:eastAsia="游明朝" w:hAnsi="游明朝"/>
          <w:b/>
          <w:bCs/>
          <w:color w:val="1F3864"/>
          <w:sz w:val="21"/>
          <w:szCs w:val="21"/>
        </w:rPr>
        <w:t xml:space="preserve">施設給付比率の高さ</w:t>
      </w:r>
      <w:r>
        <w:rPr>
          <w:rFonts w:ascii="游明朝" w:cs="游明朝" w:eastAsia="游明朝" w:hAnsi="游明朝"/>
          <w:b w:val="false"/>
          <w:bCs w:val="false"/>
          <w:color w:val="262626"/>
          <w:sz w:val="21"/>
          <w:szCs w:val="21"/>
        </w:rPr>
        <w:t xml:space="preserve">が主たる説明要因となります。</w:t>
      </w:r>
    </w:p>
    <w:p>
      <w:r>
        <w:br w:type="page"/>
      </w:r>
    </w:p>
    <w:p>
      <w:pPr>
        <w:pBdr>
          <w:top w:val="single" w:color="1F3864" w:sz="2" w:space="6"/>
          <w:bottom w:val="single" w:color="1F3864" w:sz="2" w:space="6"/>
        </w:pBdr>
        <w:shd w:fill="1F3864" w:val="clear"/>
        <w:spacing w:after="160" w:before="320"/>
      </w:pPr>
      <w:r>
        <w:rPr>
          <w:rFonts w:ascii="游ゴシック" w:cs="游ゴシック" w:eastAsia="游ゴシック" w:hAnsi="游ゴシック"/>
          <w:b/>
          <w:bCs/>
          <w:color w:val="FFC000"/>
          <w:sz w:val="26"/>
          <w:szCs w:val="26"/>
        </w:rPr>
        <w:t xml:space="preserve">  4  </w:t>
      </w:r>
      <w:r>
        <w:rPr>
          <w:rFonts w:ascii="游ゴシック" w:cs="游ゴシック" w:eastAsia="游ゴシック" w:hAnsi="游ゴシック"/>
          <w:b/>
          <w:bCs/>
          <w:color w:val="FFFFFF"/>
          <w:sz w:val="26"/>
          <w:szCs w:val="26"/>
        </w:rPr>
        <w:t xml:space="preserve">【重要】「水準」と「上昇率」の区別 — 計画書記述の精査</w:t>
      </w:r>
    </w:p>
    <w:p>
      <w:pPr>
        <w:spacing w:after="120" w:line="300"/>
        <w:jc w:val="both"/>
      </w:pPr>
      <w:r>
        <w:rPr>
          <w:rFonts w:ascii="游明朝" w:cs="游明朝" w:eastAsia="游明朝" w:hAnsi="游明朝"/>
          <w:color w:val="262626"/>
          <w:sz w:val="21"/>
          <w:szCs w:val="21"/>
        </w:rPr>
        <w:t xml:space="preserve">保険料を語る際には、「水準（額そのもの）」と「上昇率（前期からの伸び）」という2つの異なる指標を混同しないことが重要です。川崎町はこの2指標で評価が分かれます。</w:t>
      </w:r>
    </w:p>
    <w:p>
      <w:pPr>
        <w:spacing w:after="40" w:before="60"/>
      </w:pPr>
      <w:r>
        <w:rPr>
          <w:rFonts w:ascii="游ゴシック" w:cs="游ゴシック" w:eastAsia="游ゴシック" w:hAnsi="游ゴシック"/>
          <w:b/>
          <w:bCs/>
          <w:color w:val="1F3864"/>
          <w:sz w:val="20"/>
          <w:szCs w:val="20"/>
        </w:rPr>
        <w:t xml:space="preserve">表4-1　2指標による川崎町の評価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960"/>
      </w:tblGrid>
      <w:tr>
        <w:trPr>
          <w:tblHeader/>
        </w:trPr>
        <w:tc>
          <w:tcPr>
            <w:tcW w:type="dxa" w:w="24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指標</w:t>
            </w:r>
          </w:p>
        </w:tc>
        <w:tc>
          <w:tcPr>
            <w:tcW w:type="dxa" w:w="26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川崎町</w:t>
            </w:r>
          </w:p>
        </w:tc>
        <w:tc>
          <w:tcPr>
            <w:tcW w:type="dxa" w:w="24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県・全国との比較</w:t>
            </w:r>
          </w:p>
        </w:tc>
        <w:tc>
          <w:tcPr>
            <w:tcW w:type="dxa" w:w="196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評価</w:t>
            </w:r>
          </w:p>
        </w:tc>
      </w:tr>
      <w:tr>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保険料水準（額）</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bCs/>
                <w:color w:val="1F3864"/>
                <w:sz w:val="19"/>
                <w:szCs w:val="19"/>
              </w:rPr>
              <w:t xml:space="preserve">6,500円</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県平均+402／全国+275円</w:t>
            </w:r>
          </w:p>
        </w:tc>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center"/>
            </w:pPr>
            <w:r>
              <w:rPr>
                <w:rFonts w:ascii="游明朝" w:cs="游明朝" w:eastAsia="游明朝" w:hAnsi="游明朝"/>
                <w:b/>
                <w:bCs/>
                <w:color w:val="C55A11"/>
                <w:sz w:val="19"/>
                <w:szCs w:val="19"/>
              </w:rPr>
              <w:t xml:space="preserve">県内上位</w:t>
            </w:r>
          </w:p>
        </w:tc>
      </w:tr>
      <w:tr>
        <w:tc>
          <w:tcPr>
            <w:tcBorders>
              <w:top w:val="single" w:color="808080" w:sz="4"/>
              <w:left w:val="single" w:color="808080" w:sz="4"/>
              <w:bottom w:val="single" w:color="808080" w:sz="4"/>
              <w:right w:val="single" w:color="808080" w:sz="4"/>
            </w:tcBorders>
            <w:shd w:fill="E2EFDA"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上昇率（8→9期）</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bCs/>
                <w:color w:val="548235"/>
                <w:sz w:val="19"/>
                <w:szCs w:val="19"/>
              </w:rPr>
              <w:t xml:space="preserve">+1.9%（+120円）</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県+2.7%・全国+3.5%を下回る</w:t>
            </w:r>
          </w:p>
        </w:tc>
        <w:tc>
          <w:tcPr>
            <w:tcBorders>
              <w:top w:val="single" w:color="808080" w:sz="4"/>
              <w:left w:val="single" w:color="808080" w:sz="4"/>
              <w:bottom w:val="single" w:color="808080" w:sz="4"/>
              <w:right w:val="single" w:color="808080" w:sz="4"/>
            </w:tcBorders>
            <w:shd w:fill="E2EFDA" w:val="clear"/>
            <w:tcMar>
              <w:top w:type="dxa" w:w="60"/>
              <w:left w:type="dxa" w:w="110"/>
              <w:bottom w:type="dxa" w:w="60"/>
              <w:right w:type="dxa" w:w="110"/>
            </w:tcMar>
            <w:vAlign w:val="center"/>
          </w:tcPr>
          <w:p>
            <w:pPr>
              <w:jc w:val="center"/>
            </w:pPr>
            <w:r>
              <w:rPr>
                <w:rFonts w:ascii="游明朝" w:cs="游明朝" w:eastAsia="游明朝" w:hAnsi="游明朝"/>
                <w:b/>
                <w:bCs/>
                <w:color w:val="548235"/>
                <w:sz w:val="19"/>
                <w:szCs w:val="19"/>
              </w:rPr>
              <w:t xml:space="preserve">抑制的</w:t>
            </w:r>
          </w:p>
        </w:tc>
      </w:tr>
    </w:tbl>
    <w:p>
      <w:pPr>
        <w:pBdr>
          <w:top w:val="single" w:color="FFF2CC" w:sz="2" w:space="4"/>
          <w:left w:val="single" w:color="C55A11" w:sz="18" w:space="10"/>
          <w:bottom w:val="single" w:color="FFF2CC" w:sz="2" w:space="4"/>
        </w:pBdr>
        <w:shd w:fill="FFF2CC" w:val="clear"/>
        <w:spacing w:after="140" w:before="80"/>
      </w:pPr>
      <w:r>
        <w:rPr>
          <w:rFonts w:ascii="游ゴシック" w:cs="游ゴシック" w:eastAsia="游ゴシック" w:hAnsi="游ゴシック"/>
          <w:b/>
          <w:bCs/>
          <w:color w:val="1F3864"/>
          <w:sz w:val="21"/>
          <w:szCs w:val="21"/>
        </w:rPr>
        <w:t xml:space="preserve">● 水準は「上位」、上昇率は「抑制的」。両者は両立する。保険者努力（介護予防・基金）が伸びを抑えてきたが、高齢化の構造により水準自体は高い。</w:t>
      </w:r>
    </w:p>
    <w:p>
      <w:pPr>
        <w:pBdr>
          <w:left w:val="single" w:color="2E75B6" w:sz="18" w:space="8"/>
        </w:pBdr>
        <w:spacing w:after="100" w:before="220"/>
      </w:pPr>
      <w:r>
        <w:rPr>
          <w:rFonts w:ascii="游ゴシック" w:cs="游ゴシック" w:eastAsia="游ゴシック" w:hAnsi="游ゴシック"/>
          <w:b/>
          <w:bCs/>
          <w:color w:val="1F3864"/>
          <w:sz w:val="23"/>
          <w:szCs w:val="23"/>
        </w:rPr>
        <w:t xml:space="preserve"> 計画書素案v1.6（第7章 7-3）の記述に関する指摘</w:t>
      </w:r>
    </w:p>
    <w:p>
      <w:pPr>
        <w:spacing w:after="120" w:line="300"/>
        <w:jc w:val="both"/>
      </w:pPr>
      <w:r>
        <w:rPr>
          <w:rFonts w:ascii="游明朝" w:cs="游明朝" w:eastAsia="游明朝" w:hAnsi="游明朝"/>
          <w:b w:val="false"/>
          <w:bCs w:val="false"/>
          <w:color w:val="262626"/>
          <w:sz w:val="21"/>
          <w:szCs w:val="21"/>
        </w:rPr>
        <w:t xml:space="preserve">現行の計画書素案v1.6 第7章には、次の2か所に</w:t>
      </w:r>
      <w:r>
        <w:rPr>
          <w:rFonts w:ascii="游明朝" w:cs="游明朝" w:eastAsia="游明朝" w:hAnsi="游明朝"/>
          <w:b/>
          <w:bCs/>
          <w:color w:val="C00000"/>
          <w:sz w:val="21"/>
          <w:szCs w:val="21"/>
        </w:rPr>
        <w:t xml:space="preserve">実態と整合しない表現</w:t>
      </w:r>
      <w:r>
        <w:rPr>
          <w:rFonts w:ascii="游明朝" w:cs="游明朝" w:eastAsia="游明朝" w:hAnsi="游明朝"/>
          <w:b w:val="false"/>
          <w:bCs w:val="false"/>
          <w:color w:val="262626"/>
          <w:sz w:val="21"/>
          <w:szCs w:val="21"/>
        </w:rPr>
        <w:t xml:space="preserve">があります。委員から県公表データと照合されるリスクがあるため、修正を提案します。</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4200"/>
      </w:tblGrid>
      <w:tr>
        <w:trPr>
          <w:tblHeader/>
        </w:trPr>
        <w:tc>
          <w:tcPr>
            <w:tcW w:type="dxa" w:w="14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箇所</w:t>
            </w:r>
          </w:p>
        </w:tc>
        <w:tc>
          <w:tcPr>
            <w:tcW w:type="dxa" w:w="42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現行表現（要修正）</w:t>
            </w:r>
          </w:p>
        </w:tc>
        <w:tc>
          <w:tcPr>
            <w:tcW w:type="dxa" w:w="42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修正提案</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①</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21"/>
                <w:szCs w:val="21"/>
              </w:rPr>
              <w:t xml:space="preserve">「川崎町の保険料は近隣自治体と比較しても</w:t>
            </w:r>
            <w:r>
              <w:rPr>
                <w:rFonts w:ascii="游明朝" w:cs="游明朝" w:eastAsia="游明朝" w:hAnsi="游明朝"/>
                <w:b/>
                <w:bCs/>
                <w:color w:val="C00000"/>
                <w:sz w:val="21"/>
                <w:szCs w:val="21"/>
              </w:rPr>
              <w:t xml:space="preserve">抑制的な水準</w:t>
            </w:r>
            <w:r>
              <w:rPr>
                <w:rFonts w:ascii="游明朝" w:cs="游明朝" w:eastAsia="游明朝" w:hAnsi="游明朝"/>
                <w:b w:val="false"/>
                <w:bCs w:val="false"/>
                <w:color w:val="262626"/>
                <w:sz w:val="21"/>
                <w:szCs w:val="21"/>
              </w:rPr>
              <w:t xml:space="preserve">で運営されてきました」</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21"/>
                <w:szCs w:val="21"/>
              </w:rPr>
              <w:t xml:space="preserve">「川崎町の保険料の</w:t>
            </w:r>
            <w:r>
              <w:rPr>
                <w:rFonts w:ascii="游明朝" w:cs="游明朝" w:eastAsia="游明朝" w:hAnsi="游明朝"/>
                <w:b/>
                <w:bCs/>
                <w:color w:val="548235"/>
                <w:sz w:val="21"/>
                <w:szCs w:val="21"/>
              </w:rPr>
              <w:t xml:space="preserve">上昇率は抑制的</w:t>
            </w:r>
            <w:r>
              <w:rPr>
                <w:rFonts w:ascii="游明朝" w:cs="游明朝" w:eastAsia="游明朝" w:hAnsi="游明朝"/>
                <w:b w:val="false"/>
                <w:bCs w:val="false"/>
                <w:color w:val="262626"/>
                <w:sz w:val="21"/>
                <w:szCs w:val="21"/>
              </w:rPr>
              <w:t xml:space="preserve">（第8→9期+1.9%、県・全国を下回る）に推移してきました」</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②</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21"/>
                <w:szCs w:val="21"/>
              </w:rPr>
              <w:t xml:space="preserve">「第9期保険料6,500円は</w:t>
            </w:r>
            <w:r>
              <w:rPr>
                <w:rFonts w:ascii="游明朝" w:cs="游明朝" w:eastAsia="游明朝" w:hAnsi="游明朝"/>
                <w:b/>
                <w:bCs/>
                <w:color w:val="C00000"/>
                <w:sz w:val="21"/>
                <w:szCs w:val="21"/>
              </w:rPr>
              <w:t xml:space="preserve">宮城県平均水準</w:t>
            </w:r>
            <w:r>
              <w:rPr>
                <w:rFonts w:ascii="游明朝" w:cs="游明朝" w:eastAsia="游明朝" w:hAnsi="游明朝"/>
                <w:b w:val="false"/>
                <w:bCs w:val="false"/>
                <w:color w:val="262626"/>
                <w:sz w:val="21"/>
                <w:szCs w:val="21"/>
              </w:rPr>
              <w:t xml:space="preserve">で運営されている」</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21"/>
                <w:szCs w:val="21"/>
              </w:rPr>
              <w:t xml:space="preserve">「第9期保険料6,500円は県加重平均（6,098円）を上回る</w:t>
            </w:r>
            <w:r>
              <w:rPr>
                <w:rFonts w:ascii="游明朝" w:cs="游明朝" w:eastAsia="游明朝" w:hAnsi="游明朝"/>
                <w:b/>
                <w:bCs/>
                <w:color w:val="C55A11"/>
                <w:sz w:val="21"/>
                <w:szCs w:val="21"/>
              </w:rPr>
              <w:t xml:space="preserve">県内上位水準</w:t>
            </w:r>
            <w:r>
              <w:rPr>
                <w:rFonts w:ascii="游明朝" w:cs="游明朝" w:eastAsia="游明朝" w:hAnsi="游明朝"/>
                <w:b w:val="false"/>
                <w:bCs w:val="false"/>
                <w:color w:val="262626"/>
                <w:sz w:val="21"/>
                <w:szCs w:val="21"/>
              </w:rPr>
              <w:t xml:space="preserve">であり、高齢化率41.4%（県内5位）と整合的な水準である」</w:t>
            </w:r>
          </w:p>
        </w:tc>
      </w:tr>
    </w:tbl>
    <w:p>
      <w:pPr>
        <w:spacing w:after="120"/>
      </w:pPr>
      <w:r>
        <w:rPr>
          <w:rFonts w:ascii="游明朝" w:cs="游明朝" w:eastAsia="游明朝" w:hAnsi="游明朝"/>
          <w:i/>
          <w:iCs/>
          <w:color w:val="808080"/>
          <w:sz w:val="17"/>
          <w:szCs w:val="17"/>
        </w:rPr>
        <w:t xml:space="preserve">※ 『県内最低水準の保険料』のような断定的な水準表現は、将来推計との整合が崩れたときに説明が立たなくなるため用いない。水準そのものではなく、その水準になっている構造的な根拠を示す書き方とする。</w:t>
      </w:r>
    </w:p>
    <w:p>
      <w:r>
        <w:br w:type="page"/>
      </w:r>
    </w:p>
    <w:p>
      <w:pPr>
        <w:pBdr>
          <w:top w:val="single" w:color="1F3864" w:sz="2" w:space="6"/>
          <w:bottom w:val="single" w:color="1F3864" w:sz="2" w:space="6"/>
        </w:pBdr>
        <w:shd w:fill="1F3864" w:val="clear"/>
        <w:spacing w:after="160" w:before="320"/>
      </w:pPr>
      <w:r>
        <w:rPr>
          <w:rFonts w:ascii="游ゴシック" w:cs="游ゴシック" w:eastAsia="游ゴシック" w:hAnsi="游ゴシック"/>
          <w:b/>
          <w:bCs/>
          <w:color w:val="FFC000"/>
          <w:sz w:val="26"/>
          <w:szCs w:val="26"/>
        </w:rPr>
        <w:t xml:space="preserve">  5  </w:t>
      </w:r>
      <w:r>
        <w:rPr>
          <w:rFonts w:ascii="游ゴシック" w:cs="游ゴシック" w:eastAsia="游ゴシック" w:hAnsi="游ゴシック"/>
          <w:b/>
          <w:bCs/>
          <w:color w:val="FFFFFF"/>
          <w:sz w:val="26"/>
          <w:szCs w:val="26"/>
        </w:rPr>
        <w:t xml:space="preserve">要因分析 — なぜ川崎町は県内上位水準なのか</w:t>
      </w:r>
    </w:p>
    <w:p>
      <w:pPr>
        <w:spacing w:after="120" w:line="300"/>
        <w:jc w:val="both"/>
      </w:pPr>
      <w:r>
        <w:rPr>
          <w:rFonts w:ascii="游明朝" w:cs="游明朝" w:eastAsia="游明朝" w:hAnsi="游明朝"/>
          <w:color w:val="262626"/>
          <w:sz w:val="21"/>
          <w:szCs w:val="21"/>
        </w:rPr>
        <w:t xml:space="preserve">川崎町が県内上位の保険料水準にある理由は、給付費を押し上げる「構造的要因」と、保険料の伸びを抑えてきた「抑制要因」の両面から説明できます。</w:t>
      </w:r>
    </w:p>
    <w:p>
      <w:pPr>
        <w:pBdr>
          <w:left w:val="single" w:color="2E75B6" w:sz="18" w:space="8"/>
        </w:pBdr>
        <w:spacing w:after="100" w:before="220"/>
      </w:pPr>
      <w:r>
        <w:rPr>
          <w:rFonts w:ascii="游ゴシック" w:cs="游ゴシック" w:eastAsia="游ゴシック" w:hAnsi="游ゴシック"/>
          <w:b/>
          <w:bCs/>
          <w:color w:val="1F3864"/>
          <w:sz w:val="23"/>
          <w:szCs w:val="23"/>
        </w:rPr>
        <w:t xml:space="preserve"> (1) 保険料を押し上げる構造的要因（コスト・プッシュ）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00"/>
      </w:tblGrid>
      <w:tr>
        <w:trPr>
          <w:tblHeader/>
        </w:trPr>
        <w:tc>
          <w:tcPr>
            <w:tcW w:type="dxa" w:w="6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
            </w:r>
          </w:p>
        </w:tc>
        <w:tc>
          <w:tcPr>
            <w:tcW w:type="dxa" w:w="26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要因</w:t>
            </w:r>
          </w:p>
        </w:tc>
        <w:tc>
          <w:tcPr>
            <w:tcW w:type="dxa" w:w="58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内容と保険料への影響</w:t>
            </w:r>
          </w:p>
        </w:tc>
      </w:tr>
      <w:tr>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①</w:t>
            </w:r>
          </w:p>
        </w:tc>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高齢化率の高さ</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21"/>
                <w:szCs w:val="21"/>
              </w:rPr>
              <w:t xml:space="preserve">高齢化率41.4%（県内5位・全国29.1%／県28.5%を大きく上回る）。第1号被保険者3,244人に対する認定者・給付対象者の母数が構造的に大きい。</w:t>
            </w:r>
          </w:p>
        </w:tc>
      </w:tr>
      <w:tr>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②</w:t>
            </w:r>
          </w:p>
        </w:tc>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後期高齢者比率の高さと急増</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21"/>
                <w:szCs w:val="21"/>
              </w:rPr>
              <w:t xml:space="preserve">75歳以上1,675人（51.6%）。4年で+10.9%増。後期高齢者の認定率は前期高齢者の</w:t>
            </w:r>
            <w:r>
              <w:rPr>
                <w:rFonts w:ascii="游明朝" w:cs="游明朝" w:eastAsia="游明朝" w:hAnsi="游明朝"/>
                <w:b/>
                <w:bCs/>
                <w:color w:val="C55A11"/>
                <w:sz w:val="21"/>
                <w:szCs w:val="21"/>
              </w:rPr>
              <w:t xml:space="preserve">約4〜5倍</w:t>
            </w:r>
            <w:r>
              <w:rPr>
                <w:rFonts w:ascii="游明朝" w:cs="游明朝" w:eastAsia="游明朝" w:hAnsi="游明朝"/>
                <w:b w:val="false"/>
                <w:bCs w:val="false"/>
                <w:color w:val="262626"/>
                <w:sz w:val="21"/>
                <w:szCs w:val="21"/>
              </w:rPr>
              <w:t xml:space="preserve">であり、認定者数・給付費の押し上げ要因。</w:t>
            </w:r>
          </w:p>
        </w:tc>
      </w:tr>
      <w:tr>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③</w:t>
            </w:r>
          </w:p>
        </w:tc>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施設サービス給付比率の高さ</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21"/>
                <w:szCs w:val="21"/>
              </w:rPr>
              <w:t xml:space="preserve">R3給付費構成は</w:t>
            </w:r>
            <w:r>
              <w:rPr>
                <w:rFonts w:ascii="游明朝" w:cs="游明朝" w:eastAsia="游明朝" w:hAnsi="游明朝"/>
                <w:b/>
                <w:bCs/>
                <w:color w:val="C00000"/>
                <w:sz w:val="21"/>
                <w:szCs w:val="21"/>
              </w:rPr>
              <w:t xml:space="preserve">施設46.0%</w:t>
            </w:r>
            <w:r>
              <w:rPr>
                <w:rFonts w:ascii="游明朝" w:cs="游明朝" w:eastAsia="游明朝" w:hAnsi="游明朝"/>
                <w:b w:val="false"/>
                <w:bCs w:val="false"/>
                <w:color w:val="262626"/>
                <w:sz w:val="21"/>
                <w:szCs w:val="21"/>
              </w:rPr>
              <w:t xml:space="preserve">・居宅38.1%・地域密着15.9%。施設サービスは1人当たり給付単価が最も高く、施設給付比率の高さが1人当たり給付費を押し上げる</w:t>
            </w:r>
            <w:r>
              <w:rPr>
                <w:rFonts w:ascii="游明朝" w:cs="游明朝" w:eastAsia="游明朝" w:hAnsi="游明朝"/>
                <w:b/>
                <w:bCs/>
                <w:color w:val="1F3864"/>
                <w:sz w:val="21"/>
                <w:szCs w:val="21"/>
              </w:rPr>
              <w:t xml:space="preserve">最大の説明要因</w:t>
            </w:r>
            <w:r>
              <w:rPr>
                <w:rFonts w:ascii="游明朝" w:cs="游明朝" w:eastAsia="游明朝" w:hAnsi="游明朝"/>
                <w:b w:val="false"/>
                <w:bCs w:val="false"/>
                <w:color w:val="262626"/>
                <w:sz w:val="21"/>
                <w:szCs w:val="21"/>
              </w:rPr>
              <w:t xml:space="preserve">。</w:t>
            </w:r>
          </w:p>
        </w:tc>
      </w:tr>
      <w:tr>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④</w:t>
            </w:r>
          </w:p>
        </w:tc>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町外施設依存（住所地特例）</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21"/>
                <w:szCs w:val="21"/>
              </w:rPr>
              <w:t xml:space="preserve">住所地特例24人（R7.6）。町外施設利用者分も保険者として給付負担。施設の地域偏在を背景に町外依存度が比較的高く、給付費に上方寄与。</w:t>
            </w:r>
          </w:p>
        </w:tc>
      </w:tr>
    </w:tbl>
    <w:p>
      <w:pPr>
        <w:pBdr>
          <w:top w:val="single" w:color="DEEBF7" w:sz="2" w:space="4"/>
          <w:left w:val="single" w:color="2E75B6" w:sz="18" w:space="10"/>
          <w:bottom w:val="single" w:color="DEEBF7" w:sz="2" w:space="4"/>
        </w:pBdr>
        <w:shd w:fill="DEEBF7" w:val="clear"/>
        <w:spacing w:after="140" w:before="80"/>
      </w:pPr>
      <w:r>
        <w:rPr>
          <w:rFonts w:ascii="游ゴシック" w:cs="游ゴシック" w:eastAsia="游ゴシック" w:hAnsi="游ゴシック"/>
          <w:b/>
          <w:bCs/>
          <w:color w:val="1F3864"/>
          <w:sz w:val="21"/>
          <w:szCs w:val="21"/>
        </w:rPr>
        <w:t xml:space="preserve">● 上位水準の主因は『施設給付比率46.0%×後期高齢者比率51.6%』。これは保険者の非効率ではなく、高齢化が進んだ中山間小規模町の構造的特性である。</w:t>
      </w:r>
    </w:p>
    <w:p>
      <w:pPr>
        <w:pBdr>
          <w:left w:val="single" w:color="2E75B6" w:sz="18" w:space="8"/>
        </w:pBdr>
        <w:spacing w:after="100" w:before="220"/>
      </w:pPr>
      <w:r>
        <w:rPr>
          <w:rFonts w:ascii="游ゴシック" w:cs="游ゴシック" w:eastAsia="游ゴシック" w:hAnsi="游ゴシック"/>
          <w:b/>
          <w:bCs/>
          <w:color w:val="1F3864"/>
          <w:sz w:val="23"/>
          <w:szCs w:val="23"/>
        </w:rPr>
        <w:t xml:space="preserve"> (2) 保険料の上昇を抑えてきた抑制要因（+1.9%にとどめた要因）</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00"/>
      </w:tblGrid>
      <w:tr>
        <w:trPr>
          <w:tblHeader/>
        </w:trPr>
        <w:tc>
          <w:tcPr>
            <w:tcW w:type="dxa" w:w="6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
            </w:r>
          </w:p>
        </w:tc>
        <w:tc>
          <w:tcPr>
            <w:tcW w:type="dxa" w:w="26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要因</w:t>
            </w:r>
          </w:p>
        </w:tc>
        <w:tc>
          <w:tcPr>
            <w:tcW w:type="dxa" w:w="58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内容と保険料への影響</w:t>
            </w:r>
          </w:p>
        </w:tc>
      </w:tr>
      <w:tr>
        <w:tc>
          <w:tcPr>
            <w:tcBorders>
              <w:top w:val="single" w:color="808080" w:sz="4"/>
              <w:left w:val="single" w:color="808080" w:sz="4"/>
              <w:bottom w:val="single" w:color="808080" w:sz="4"/>
              <w:right w:val="single" w:color="808080" w:sz="4"/>
            </w:tcBorders>
            <w:shd w:fill="E2EFDA"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①</w:t>
            </w:r>
          </w:p>
        </w:tc>
        <w:tc>
          <w:tcPr>
            <w:tcBorders>
              <w:top w:val="single" w:color="808080" w:sz="4"/>
              <w:left w:val="single" w:color="808080" w:sz="4"/>
              <w:bottom w:val="single" w:color="808080" w:sz="4"/>
              <w:right w:val="single" w:color="808080" w:sz="4"/>
            </w:tcBorders>
            <w:shd w:fill="E2EFDA"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町独自の介護予防事業</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21"/>
                <w:szCs w:val="21"/>
              </w:rPr>
              <w:t xml:space="preserve">ユニバーサルサポーター制度（14種別約400名）・介護予防84名等の住民主体活動。認定率の上昇を抑制し、給付費の自然増を緩和。</w:t>
            </w:r>
          </w:p>
        </w:tc>
      </w:tr>
      <w:tr>
        <w:tc>
          <w:tcPr>
            <w:tcBorders>
              <w:top w:val="single" w:color="808080" w:sz="4"/>
              <w:left w:val="single" w:color="808080" w:sz="4"/>
              <w:bottom w:val="single" w:color="808080" w:sz="4"/>
              <w:right w:val="single" w:color="808080" w:sz="4"/>
            </w:tcBorders>
            <w:shd w:fill="E2EFDA"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②</w:t>
            </w:r>
          </w:p>
        </w:tc>
        <w:tc>
          <w:tcPr>
            <w:tcBorders>
              <w:top w:val="single" w:color="808080" w:sz="4"/>
              <w:left w:val="single" w:color="808080" w:sz="4"/>
              <w:bottom w:val="single" w:color="808080" w:sz="4"/>
              <w:right w:val="single" w:color="808080" w:sz="4"/>
            </w:tcBorders>
            <w:shd w:fill="E2EFDA"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介護給付費準備基金の取崩</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21"/>
                <w:szCs w:val="21"/>
              </w:rPr>
              <w:t xml:space="preserve">剰余金の積立基金を取り崩し、保険料基準額の上昇を直接抑制（第10期も3パターンで活用を検討）。</w:t>
            </w:r>
          </w:p>
        </w:tc>
      </w:tr>
      <w:tr>
        <w:tc>
          <w:tcPr>
            <w:tcBorders>
              <w:top w:val="single" w:color="808080" w:sz="4"/>
              <w:left w:val="single" w:color="808080" w:sz="4"/>
              <w:bottom w:val="single" w:color="808080" w:sz="4"/>
              <w:right w:val="single" w:color="808080" w:sz="4"/>
            </w:tcBorders>
            <w:shd w:fill="E2EFDA"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③</w:t>
            </w:r>
          </w:p>
        </w:tc>
        <w:tc>
          <w:tcPr>
            <w:tcBorders>
              <w:top w:val="single" w:color="808080" w:sz="4"/>
              <w:left w:val="single" w:color="808080" w:sz="4"/>
              <w:bottom w:val="single" w:color="808080" w:sz="4"/>
              <w:right w:val="single" w:color="808080" w:sz="4"/>
            </w:tcBorders>
            <w:shd w:fill="E2EFDA"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高い収納率</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21"/>
                <w:szCs w:val="21"/>
              </w:rPr>
              <w:t xml:space="preserve">R3総合収納率96.3%・現年度99.0%・特別徴収100.0%。収納必要額の確保が安定し、未収リスク分の上乗せが小さい。</w:t>
            </w:r>
          </w:p>
        </w:tc>
      </w:tr>
      <w:tr>
        <w:tc>
          <w:tcPr>
            <w:tcBorders>
              <w:top w:val="single" w:color="808080" w:sz="4"/>
              <w:left w:val="single" w:color="808080" w:sz="4"/>
              <w:bottom w:val="single" w:color="808080" w:sz="4"/>
              <w:right w:val="single" w:color="808080" w:sz="4"/>
            </w:tcBorders>
            <w:shd w:fill="E2EFDA"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④</w:t>
            </w:r>
          </w:p>
        </w:tc>
        <w:tc>
          <w:tcPr>
            <w:tcBorders>
              <w:top w:val="single" w:color="808080" w:sz="4"/>
              <w:left w:val="single" w:color="808080" w:sz="4"/>
              <w:bottom w:val="single" w:color="808080" w:sz="4"/>
              <w:right w:val="single" w:color="808080" w:sz="4"/>
            </w:tcBorders>
            <w:shd w:fill="E2EFDA"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第1号被保険者数の安定</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21"/>
                <w:szCs w:val="21"/>
              </w:rPr>
              <w:t xml:space="preserve">被保険者数は3,255→3,244人（△0.3%）とほぼ横ばい。1人当たり負担の急変動がなく、保険料の安定運営に寄与。</w:t>
            </w:r>
          </w:p>
        </w:tc>
      </w:tr>
    </w:tbl>
    <w:p>
      <w:pPr>
        <w:pBdr>
          <w:left w:val="single" w:color="2E75B6" w:sz="18" w:space="8"/>
        </w:pBdr>
        <w:spacing w:after="100" w:before="220"/>
      </w:pPr>
      <w:r>
        <w:rPr>
          <w:rFonts w:ascii="游ゴシック" w:cs="游ゴシック" w:eastAsia="游ゴシック" w:hAnsi="游ゴシック"/>
          <w:b/>
          <w:bCs/>
          <w:color w:val="1F3864"/>
          <w:sz w:val="23"/>
          <w:szCs w:val="23"/>
        </w:rPr>
        <w:t xml:space="preserve"> (3) 要因分析の総括</w:t>
      </w:r>
    </w:p>
    <w:p>
      <w:pPr>
        <w:spacing w:after="120" w:line="300"/>
        <w:jc w:val="both"/>
      </w:pPr>
      <w:r>
        <w:rPr>
          <w:rFonts w:ascii="游明朝" w:cs="游明朝" w:eastAsia="游明朝" w:hAnsi="游明朝"/>
          <w:b w:val="false"/>
          <w:bCs w:val="false"/>
          <w:color w:val="262626"/>
          <w:sz w:val="21"/>
          <w:szCs w:val="21"/>
        </w:rPr>
        <w:t xml:space="preserve">川崎町の保険料水準は、</w:t>
      </w:r>
      <w:r>
        <w:rPr>
          <w:rFonts w:ascii="游明朝" w:cs="游明朝" w:eastAsia="游明朝" w:hAnsi="游明朝"/>
          <w:b/>
          <w:bCs/>
          <w:color w:val="1F3864"/>
          <w:sz w:val="21"/>
          <w:szCs w:val="21"/>
        </w:rPr>
        <w:t xml:space="preserve">『高い給付費構造（施設・後期高齢者）が水準を押し上げる一方、保険者努力（予防・基金・収納）が上昇率を抑え込む』</w:t>
      </w:r>
      <w:r>
        <w:rPr>
          <w:rFonts w:ascii="游明朝" w:cs="游明朝" w:eastAsia="游明朝" w:hAnsi="游明朝"/>
          <w:b w:val="false"/>
          <w:bCs w:val="false"/>
          <w:color w:val="262626"/>
          <w:sz w:val="21"/>
          <w:szCs w:val="21"/>
        </w:rPr>
        <w:t xml:space="preserve">という二層構造で説明できます。県内上位という水準は高齢化度に見合った妥当なものであり、+1.9%という抑制的な上昇率は保険者努力の成果です。第10期では後期高齢者の更なる増加により給付費の上方圧力が継続するため、</w:t>
      </w:r>
      <w:r>
        <w:rPr>
          <w:rFonts w:ascii="游明朝" w:cs="游明朝" w:eastAsia="游明朝" w:hAnsi="游明朝"/>
          <w:b/>
          <w:bCs/>
          <w:color w:val="C55A11"/>
          <w:sz w:val="21"/>
          <w:szCs w:val="21"/>
        </w:rPr>
        <w:t xml:space="preserve">水準は引き続き県内上位で推移する蓋然性が高い</w:t>
      </w:r>
      <w:r>
        <w:rPr>
          <w:rFonts w:ascii="游明朝" w:cs="游明朝" w:eastAsia="游明朝" w:hAnsi="游明朝"/>
          <w:b w:val="false"/>
          <w:bCs w:val="false"/>
          <w:color w:val="262626"/>
          <w:sz w:val="21"/>
          <w:szCs w:val="21"/>
        </w:rPr>
        <w:t xml:space="preserve">一方、予防・基金活用による上昇抑制をどこまで継続できるかが論点となります。</w:t>
      </w:r>
    </w:p>
    <w:p>
      <w:r>
        <w:br w:type="page"/>
      </w:r>
    </w:p>
    <w:p>
      <w:pPr>
        <w:pBdr>
          <w:top w:val="single" w:color="1F3864" w:sz="2" w:space="6"/>
          <w:bottom w:val="single" w:color="1F3864" w:sz="2" w:space="6"/>
        </w:pBdr>
        <w:shd w:fill="1F3864" w:val="clear"/>
        <w:spacing w:after="160" w:before="320"/>
      </w:pPr>
      <w:r>
        <w:rPr>
          <w:rFonts w:ascii="游ゴシック" w:cs="游ゴシック" w:eastAsia="游ゴシック" w:hAnsi="游ゴシック"/>
          <w:b/>
          <w:bCs/>
          <w:color w:val="FFC000"/>
          <w:sz w:val="26"/>
          <w:szCs w:val="26"/>
        </w:rPr>
        <w:t xml:space="preserve">  6  </w:t>
      </w:r>
      <w:r>
        <w:rPr>
          <w:rFonts w:ascii="游ゴシック" w:cs="游ゴシック" w:eastAsia="游ゴシック" w:hAnsi="游ゴシック"/>
          <w:b/>
          <w:bCs/>
          <w:color w:val="FFFFFF"/>
          <w:sz w:val="26"/>
          <w:szCs w:val="26"/>
        </w:rPr>
        <w:t xml:space="preserve">施策の妥当性評価</w:t>
      </w:r>
    </w:p>
    <w:p>
      <w:pPr>
        <w:spacing w:after="120" w:line="300"/>
        <w:jc w:val="both"/>
      </w:pPr>
      <w:r>
        <w:rPr>
          <w:rFonts w:ascii="游明朝" w:cs="游明朝" w:eastAsia="游明朝" w:hAnsi="游明朝"/>
          <w:color w:val="262626"/>
          <w:sz w:val="21"/>
          <w:szCs w:val="21"/>
        </w:rPr>
        <w:t xml:space="preserve">上記の要因分析を踏まえ、第10期計画で検討中の保険料関連施策の妥当性を評価します。評価は◎（妥当・推奨）／○（妥当）／△（要検討）で示します。</w:t>
      </w:r>
    </w:p>
    <w:p>
      <w:pPr>
        <w:spacing w:after="40" w:before="60"/>
      </w:pPr>
      <w:r>
        <w:rPr>
          <w:rFonts w:ascii="游ゴシック" w:cs="游ゴシック" w:eastAsia="游ゴシック" w:hAnsi="游ゴシック"/>
          <w:b/>
          <w:bCs/>
          <w:color w:val="1F3864"/>
          <w:sz w:val="20"/>
          <w:szCs w:val="20"/>
        </w:rPr>
        <w:t xml:space="preserve">表6-1　保険料関連施策の妥当性評価</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3600"/>
        <w:gridCol w:w="3000"/>
      </w:tblGrid>
      <w:tr>
        <w:trPr>
          <w:tblHeader/>
        </w:trPr>
        <w:tc>
          <w:tcPr>
            <w:tcW w:type="dxa" w:w="24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施策</w:t>
            </w:r>
          </w:p>
        </w:tc>
        <w:tc>
          <w:tcPr>
            <w:tcW w:type="dxa" w:w="9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評価</w:t>
            </w:r>
          </w:p>
        </w:tc>
        <w:tc>
          <w:tcPr>
            <w:tcW w:type="dxa" w:w="36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妥当性の根拠</w:t>
            </w:r>
          </w:p>
        </w:tc>
        <w:tc>
          <w:tcPr>
            <w:tcW w:type="dxa" w:w="30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留意点</w:t>
            </w:r>
          </w:p>
        </w:tc>
      </w:tr>
      <w:tr>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所得段階の13段階化</w:t>
            </w:r>
          </w:p>
        </w:tc>
        <w:tc>
          <w:tcPr>
            <w:tcBorders>
              <w:top w:val="single" w:color="808080" w:sz="4"/>
              <w:left w:val="single" w:color="808080" w:sz="4"/>
              <w:bottom w:val="single" w:color="808080" w:sz="4"/>
              <w:right w:val="single" w:color="808080" w:sz="4"/>
            </w:tcBorders>
            <w:shd w:fill="E2EFDA" w:val="clear"/>
            <w:tcMar>
              <w:top w:type="dxa" w:w="60"/>
              <w:left w:type="dxa" w:w="110"/>
              <w:bottom w:type="dxa" w:w="60"/>
              <w:right w:type="dxa" w:w="110"/>
            </w:tcMar>
            <w:vAlign w:val="center"/>
          </w:tcPr>
          <w:p>
            <w:pPr>
              <w:jc w:val="center"/>
            </w:pPr>
            <w:r>
              <w:rPr>
                <w:rFonts w:ascii="游明朝" w:cs="游明朝" w:eastAsia="游明朝" w:hAnsi="游明朝"/>
                <w:b/>
                <w:bCs/>
                <w:color w:val="C00000"/>
                <w:sz w:val="19"/>
                <w:szCs w:val="19"/>
              </w:rPr>
              <w:t xml:space="preserve">◎</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21"/>
                <w:szCs w:val="21"/>
              </w:rPr>
              <w:t xml:space="preserve">非課税層979人（30.1%）の負担軽減と高所得層への応分負担。国の標準（9→13段階）に準拠。低所得層比率が高い本町と適合。</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第10段階以上の該当人数の町確認が必要。境界所得は町条例で設定。</w:t>
            </w:r>
          </w:p>
        </w:tc>
      </w:tr>
      <w:tr>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基金活用（3パターン）</w:t>
            </w:r>
          </w:p>
        </w:tc>
        <w:tc>
          <w:tcPr>
            <w:tcBorders>
              <w:top w:val="single" w:color="808080" w:sz="4"/>
              <w:left w:val="single" w:color="808080" w:sz="4"/>
              <w:bottom w:val="single" w:color="808080" w:sz="4"/>
              <w:right w:val="single" w:color="808080" w:sz="4"/>
            </w:tcBorders>
            <w:shd w:fill="E2EFDA" w:val="clear"/>
            <w:tcMar>
              <w:top w:type="dxa" w:w="60"/>
              <w:left w:type="dxa" w:w="110"/>
              <w:bottom w:type="dxa" w:w="60"/>
              <w:right w:type="dxa" w:w="110"/>
            </w:tcMar>
            <w:vAlign w:val="center"/>
          </w:tcPr>
          <w:p>
            <w:pPr>
              <w:jc w:val="center"/>
            </w:pPr>
            <w:r>
              <w:rPr>
                <w:rFonts w:ascii="游明朝" w:cs="游明朝" w:eastAsia="游明朝" w:hAnsi="游明朝"/>
                <w:b/>
                <w:bCs/>
                <w:color w:val="C00000"/>
                <w:sz w:val="19"/>
                <w:szCs w:val="19"/>
              </w:rPr>
              <w:t xml:space="preserve">◎</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21"/>
                <w:szCs w:val="21"/>
              </w:rPr>
              <w:t xml:space="preserve">基金取崩額を変数に3パターン（取崩なし／50%／全額）を提示し委員会協議に委ねる手法は、</w:t>
            </w:r>
            <w:r>
              <w:rPr>
                <w:rFonts w:ascii="游明朝" w:cs="游明朝" w:eastAsia="游明朝" w:hAnsi="游明朝"/>
                <w:b/>
                <w:bCs/>
                <w:color w:val="262626"/>
                <w:sz w:val="21"/>
                <w:szCs w:val="21"/>
              </w:rPr>
              <w:t xml:space="preserve">断定を避け透明性を確保</w:t>
            </w:r>
            <w:r>
              <w:rPr>
                <w:rFonts w:ascii="游明朝" w:cs="游明朝" w:eastAsia="游明朝" w:hAnsi="游明朝"/>
                <w:b w:val="false"/>
                <w:bCs w:val="false"/>
                <w:color w:val="262626"/>
                <w:sz w:val="21"/>
                <w:szCs w:val="21"/>
              </w:rPr>
              <w:t xml:space="preserve">。国はパターンB（50%）を標準水準として例示。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全額取崩は第11期負担を増大させるため、第11期影響とのトレードオフを明示。</w:t>
            </w:r>
          </w:p>
        </w:tc>
      </w:tr>
      <w:tr>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介護予防の継続強化</w:t>
            </w:r>
          </w:p>
        </w:tc>
        <w:tc>
          <w:tcPr>
            <w:tcBorders>
              <w:top w:val="single" w:color="808080" w:sz="4"/>
              <w:left w:val="single" w:color="808080" w:sz="4"/>
              <w:bottom w:val="single" w:color="808080" w:sz="4"/>
              <w:right w:val="single" w:color="808080" w:sz="4"/>
            </w:tcBorders>
            <w:shd w:fill="E2EFDA" w:val="clear"/>
            <w:tcMar>
              <w:top w:type="dxa" w:w="60"/>
              <w:left w:type="dxa" w:w="110"/>
              <w:bottom w:type="dxa" w:w="60"/>
              <w:right w:type="dxa" w:w="110"/>
            </w:tcMar>
            <w:vAlign w:val="center"/>
          </w:tcPr>
          <w:p>
            <w:pPr>
              <w:jc w:val="center"/>
            </w:pPr>
            <w:r>
              <w:rPr>
                <w:rFonts w:ascii="游明朝" w:cs="游明朝" w:eastAsia="游明朝" w:hAnsi="游明朝"/>
                <w:b/>
                <w:bCs/>
                <w:color w:val="C00000"/>
                <w:sz w:val="19"/>
                <w:szCs w:val="19"/>
              </w:rPr>
              <w:t xml:space="preserve">◎</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21"/>
                <w:szCs w:val="21"/>
              </w:rPr>
              <w:t xml:space="preserve">認定率の抑制は給付費抑制の</w:t>
            </w:r>
            <w:r>
              <w:rPr>
                <w:rFonts w:ascii="游明朝" w:cs="游明朝" w:eastAsia="游明朝" w:hAnsi="游明朝"/>
                <w:b/>
                <w:bCs/>
                <w:color w:val="1F3864"/>
                <w:sz w:val="21"/>
                <w:szCs w:val="21"/>
              </w:rPr>
              <w:t xml:space="preserve">最も持続可能な手段</w:t>
            </w:r>
            <w:r>
              <w:rPr>
                <w:rFonts w:ascii="游明朝" w:cs="游明朝" w:eastAsia="游明朝" w:hAnsi="游明朝"/>
                <w:b w:val="false"/>
                <w:bCs w:val="false"/>
                <w:color w:val="262626"/>
                <w:sz w:val="21"/>
                <w:szCs w:val="21"/>
              </w:rPr>
              <w:t xml:space="preserve">。基金取崩と異なり次期負担を増やさない。本町のサポーター制度は既に実績あり。</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効果の定量把握（KPI）が課題。第5章成果指標との連動を。</w:t>
            </w:r>
          </w:p>
        </w:tc>
      </w:tr>
      <w:tr>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広域連携・住所地特例対応</w:t>
            </w:r>
          </w:p>
        </w:tc>
        <w:tc>
          <w:tcPr>
            <w:tcBorders>
              <w:top w:val="single" w:color="808080" w:sz="4"/>
              <w:left w:val="single" w:color="808080" w:sz="4"/>
              <w:bottom w:val="single" w:color="808080" w:sz="4"/>
              <w:right w:val="single" w:color="808080" w:sz="4"/>
            </w:tcBorders>
            <w:shd w:fill="E2EFDA" w:val="clear"/>
            <w:tcMar>
              <w:top w:type="dxa" w:w="60"/>
              <w:left w:type="dxa" w:w="110"/>
              <w:bottom w:type="dxa" w:w="60"/>
              <w:right w:type="dxa" w:w="110"/>
            </w:tcMar>
            <w:vAlign w:val="center"/>
          </w:tcPr>
          <w:p>
            <w:pPr>
              <w:jc w:val="center"/>
            </w:pPr>
            <w:r>
              <w:rPr>
                <w:rFonts w:ascii="游明朝" w:cs="游明朝" w:eastAsia="游明朝" w:hAnsi="游明朝"/>
                <w:b/>
                <w:bCs/>
                <w:color w:val="548235"/>
                <w:sz w:val="19"/>
                <w:szCs w:val="19"/>
              </w:rPr>
              <w:t xml:space="preserve">○</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21"/>
                <w:szCs w:val="21"/>
              </w:rPr>
              <w:t xml:space="preserve">町外施設給付（住所地特例24人）の動向把握と仙南圏域での施設配置調整。給付費の予見性を高める。</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町単独で制御困難な要素。圏域・県との調整が前提。</w:t>
            </w:r>
          </w:p>
        </w:tc>
      </w:tr>
      <w:tr>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収納率の維持</w:t>
            </w:r>
          </w:p>
        </w:tc>
        <w:tc>
          <w:tcPr>
            <w:tcBorders>
              <w:top w:val="single" w:color="808080" w:sz="4"/>
              <w:left w:val="single" w:color="808080" w:sz="4"/>
              <w:bottom w:val="single" w:color="808080" w:sz="4"/>
              <w:right w:val="single" w:color="808080" w:sz="4"/>
            </w:tcBorders>
            <w:shd w:fill="E2EFDA" w:val="clear"/>
            <w:tcMar>
              <w:top w:type="dxa" w:w="60"/>
              <w:left w:type="dxa" w:w="110"/>
              <w:bottom w:type="dxa" w:w="60"/>
              <w:right w:type="dxa" w:w="110"/>
            </w:tcMar>
            <w:vAlign w:val="center"/>
          </w:tcPr>
          <w:p>
            <w:pPr>
              <w:jc w:val="center"/>
            </w:pPr>
            <w:r>
              <w:rPr>
                <w:rFonts w:ascii="游明朝" w:cs="游明朝" w:eastAsia="游明朝" w:hAnsi="游明朝"/>
                <w:b/>
                <w:bCs/>
                <w:color w:val="548235"/>
                <w:sz w:val="19"/>
                <w:szCs w:val="19"/>
              </w:rPr>
              <w:t xml:space="preserve">○</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21"/>
                <w:szCs w:val="21"/>
              </w:rPr>
              <w:t xml:space="preserve">96.3%の高収納率の維持により、予定収納率を高く設定でき、未収上乗せ分を圧縮。</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普通徴収現年度分87.3%の改善余地。過去5年平均の確定が必要。</w:t>
            </w:r>
          </w:p>
        </w:tc>
      </w:tr>
    </w:tbl>
    <w:p>
      <w:pPr>
        <w:pBdr>
          <w:top w:val="single" w:color="E2EFDA" w:sz="2" w:space="4"/>
          <w:left w:val="single" w:color="548235" w:sz="18" w:space="10"/>
          <w:bottom w:val="single" w:color="E2EFDA" w:sz="2" w:space="4"/>
        </w:pBdr>
        <w:shd w:fill="E2EFDA" w:val="clear"/>
        <w:spacing w:after="140" w:before="80"/>
      </w:pPr>
      <w:r>
        <w:rPr>
          <w:rFonts w:ascii="游ゴシック" w:cs="游ゴシック" w:eastAsia="游ゴシック" w:hAnsi="游ゴシック"/>
          <w:b/>
          <w:bCs/>
          <w:color w:val="1F3864"/>
          <w:sz w:val="21"/>
          <w:szCs w:val="21"/>
        </w:rPr>
        <w:t xml:space="preserve">● 保険料関連施策は総じて妥当。特に『介護予防の継続強化』は次期負担を増やさず水準上昇を抑える最善手であり、計画の重点として位置づける意義が大きい。</w:t>
      </w:r>
    </w:p>
    <w:p>
      <w:r>
        <w:br w:type="page"/>
      </w:r>
    </w:p>
    <w:p>
      <w:pPr>
        <w:pBdr>
          <w:top w:val="single" w:color="1F3864" w:sz="2" w:space="6"/>
          <w:bottom w:val="single" w:color="1F3864" w:sz="2" w:space="6"/>
        </w:pBdr>
        <w:shd w:fill="1F3864" w:val="clear"/>
        <w:spacing w:after="160" w:before="320"/>
      </w:pPr>
      <w:r>
        <w:rPr>
          <w:rFonts w:ascii="游ゴシック" w:cs="游ゴシック" w:eastAsia="游ゴシック" w:hAnsi="游ゴシック"/>
          <w:b/>
          <w:bCs/>
          <w:color w:val="FFC000"/>
          <w:sz w:val="26"/>
          <w:szCs w:val="26"/>
        </w:rPr>
        <w:t xml:space="preserve">  7  </w:t>
      </w:r>
      <w:r>
        <w:rPr>
          <w:rFonts w:ascii="游ゴシック" w:cs="游ゴシック" w:eastAsia="游ゴシック" w:hAnsi="游ゴシック"/>
          <w:b/>
          <w:bCs/>
          <w:color w:val="FFFFFF"/>
          <w:sz w:val="26"/>
          <w:szCs w:val="26"/>
        </w:rPr>
        <w:t xml:space="preserve">第10期への含意と委員会説明方針</w:t>
      </w:r>
    </w:p>
    <w:p>
      <w:pPr>
        <w:pBdr>
          <w:left w:val="single" w:color="2E75B6" w:sz="18" w:space="8"/>
        </w:pBdr>
        <w:spacing w:after="100" w:before="220"/>
      </w:pPr>
      <w:r>
        <w:rPr>
          <w:rFonts w:ascii="游ゴシック" w:cs="游ゴシック" w:eastAsia="游ゴシック" w:hAnsi="游ゴシック"/>
          <w:b/>
          <w:bCs/>
          <w:color w:val="1F3864"/>
          <w:sz w:val="23"/>
          <w:szCs w:val="23"/>
        </w:rPr>
        <w:t xml:space="preserve"> 第10期試算への含意</w:t>
      </w:r>
    </w:p>
    <w:p>
      <w:pPr>
        <w:spacing w:after="120" w:line="300"/>
        <w:jc w:val="both"/>
      </w:pPr>
      <w:r>
        <w:rPr>
          <w:rFonts w:ascii="游明朝" w:cs="游明朝" w:eastAsia="游明朝" w:hAnsi="游明朝"/>
          <w:b w:val="false"/>
          <w:bCs w:val="false"/>
          <w:color w:val="262626"/>
          <w:sz w:val="21"/>
          <w:szCs w:val="21"/>
        </w:rPr>
        <w:t xml:space="preserve">後期高齢者の増加（+10.9%）と施設給付比率の高さから、第10期の給付費は上方圧力が継続し、</w:t>
      </w:r>
      <w:r>
        <w:rPr>
          <w:rFonts w:ascii="游明朝" w:cs="游明朝" w:eastAsia="游明朝" w:hAnsi="游明朝"/>
          <w:b/>
          <w:bCs/>
          <w:color w:val="C55A11"/>
          <w:sz w:val="21"/>
          <w:szCs w:val="21"/>
        </w:rPr>
        <w:t xml:space="preserve">保険料水準は引き続き県内上位で推移する蓋然性が高い</w:t>
      </w:r>
      <w:r>
        <w:rPr>
          <w:rFonts w:ascii="游明朝" w:cs="游明朝" w:eastAsia="游明朝" w:hAnsi="游明朝"/>
          <w:b w:val="false"/>
          <w:bCs w:val="false"/>
          <w:color w:val="262626"/>
          <w:sz w:val="21"/>
          <w:szCs w:val="21"/>
        </w:rPr>
        <w:t xml:space="preserve">と見込まれます。3パターン試算（A:取崩なし／B:50%／C:全額）のいずれを選ぶかにより月額は変動しますが、いずれのパターンでも県平均（6,098円）を上回る水準が現実的な前提となります。基金残高（R8.6確定）の入手後、本レポートの構造分析を踏まえて具体額を算定します。</w:t>
      </w:r>
    </w:p>
    <w:p>
      <w:pPr>
        <w:pBdr>
          <w:left w:val="single" w:color="2E75B6" w:sz="18" w:space="8"/>
        </w:pBdr>
        <w:spacing w:after="100" w:before="220"/>
      </w:pPr>
      <w:r>
        <w:rPr>
          <w:rFonts w:ascii="游ゴシック" w:cs="游ゴシック" w:eastAsia="游ゴシック" w:hAnsi="游ゴシック"/>
          <w:b/>
          <w:bCs/>
          <w:color w:val="1F3864"/>
          <w:sz w:val="23"/>
          <w:szCs w:val="23"/>
        </w:rPr>
        <w:t xml:space="preserve"> 委員会での説明方針（断定回避の原則）</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3700"/>
      </w:tblGrid>
      <w:tr>
        <w:trPr>
          <w:tblHeader/>
        </w:trPr>
        <w:tc>
          <w:tcPr>
            <w:tcW w:type="dxa" w:w="7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
            </w:r>
          </w:p>
        </w:tc>
        <w:tc>
          <w:tcPr>
            <w:tcW w:type="dxa" w:w="45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説明の原則</w:t>
            </w:r>
          </w:p>
        </w:tc>
        <w:tc>
          <w:tcPr>
            <w:tcW w:type="dxa" w:w="37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具体的な言い回し（推奨）</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①</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color w:val="262626"/>
                <w:sz w:val="21"/>
                <w:szCs w:val="21"/>
              </w:rPr>
              <w:t xml:space="preserve">水準と上昇率を区別する</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「額は県内上位ですが、伸びは県・全国より抑えてきました」</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②</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color w:val="262626"/>
                <w:sz w:val="21"/>
                <w:szCs w:val="21"/>
              </w:rPr>
              <w:t xml:space="preserve">水準の高さを構造的に説明する（妥当性）</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「高齢化率が県内5位で施設利用が多い構造上、給付費が大きく、保険料も相応に高くなります」</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③</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color w:val="C00000"/>
                <w:sz w:val="21"/>
                <w:szCs w:val="21"/>
              </w:rPr>
              <w:t xml:space="preserve">『県内最低・県平均水準』と断定しない</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将来推計・他団体の改定で覆るリスク。「高齢化度に見合った水準」と表現</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④</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color w:val="262626"/>
                <w:sz w:val="21"/>
                <w:szCs w:val="21"/>
              </w:rPr>
              <w:t xml:space="preserve">抑制の努力を示す</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「介護予防・基金活用・高い収納率で上昇を抑えてきました」</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⑤</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color w:val="262626"/>
                <w:sz w:val="21"/>
                <w:szCs w:val="21"/>
              </w:rPr>
              <w:t xml:space="preserve">第11期トレードオフを明示する</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「今、基金を全部使うと次の改定（第11期）の上げ幅が大きくなります」</w:t>
            </w:r>
          </w:p>
        </w:tc>
      </w:tr>
    </w:tbl>
    <w:p>
      <w:pPr>
        <w:pBdr>
          <w:left w:val="single" w:color="2E75B6" w:sz="18" w:space="8"/>
        </w:pBdr>
        <w:spacing w:after="100" w:before="220"/>
      </w:pPr>
      <w:r>
        <w:rPr>
          <w:rFonts w:ascii="游ゴシック" w:cs="游ゴシック" w:eastAsia="游ゴシック" w:hAnsi="游ゴシック"/>
          <w:b/>
          <w:bCs/>
          <w:color w:val="1F3864"/>
          <w:sz w:val="23"/>
          <w:szCs w:val="23"/>
        </w:rPr>
        <w:t xml:space="preserve"> 本レポートの計画書・成果物への反映先</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5700"/>
      </w:tblGrid>
      <w:tr>
        <w:trPr>
          <w:tblHeader/>
        </w:trPr>
        <w:tc>
          <w:tcPr>
            <w:tcW w:type="dxa" w:w="32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反映先</w:t>
            </w:r>
          </w:p>
        </w:tc>
        <w:tc>
          <w:tcPr>
            <w:tcW w:type="dxa" w:w="57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反映内容</w:t>
            </w:r>
          </w:p>
        </w:tc>
      </w:tr>
      <w:tr>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計画書 第7章 7-3</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近隣比較表に実数を反映／「水準」表現の修正（表4-1の修正提案①②）</w:t>
            </w:r>
          </w:p>
        </w:tc>
      </w:tr>
      <w:tr>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保険料試算ワークブック 09_比較分析</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仙南各町・県平均の[入力]枠に実数を反映（本レポートと併せて更新済）</w:t>
            </w:r>
          </w:p>
        </w:tc>
      </w:tr>
      <w:tr>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第1回〜第3回委員会 想定問答</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「県内で高いのでは」「なぜ全額取崩しないのか」への回答に本分析を活用</w:t>
            </w:r>
          </w:p>
        </w:tc>
      </w:tr>
    </w:tbl>
    <w:p>
      <w:pPr>
        <w:pBdr>
          <w:top w:val="single" w:color="2E75B6" w:sz="6" w:space="6"/>
        </w:pBdr>
        <w:spacing w:before="300"/>
      </w:pPr>
      <w:r>
        <w:rPr>
          <w:rFonts w:ascii="游明朝" w:cs="游明朝" w:eastAsia="游明朝" w:hAnsi="游明朝"/>
          <w:i/>
          <w:iCs/>
          <w:color w:val="808080"/>
          <w:sz w:val="18"/>
          <w:szCs w:val="18"/>
        </w:rPr>
        <w:t xml:space="preserve">以上。具体的な保険料月額は、介護給付費準備基金残高（R8.6確定）・サービス見込量・国通知を踏まえ、Ver.2.0／第3回策定委員会で確定します。</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明朝" w:cs="游明朝" w:eastAsia="游明朝" w:hAnsi="游明朝"/>
        <w:color w:val="808080"/>
        <w:sz w:val="16"/>
        <w:szCs w:val="16"/>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4"/>
      </w:pBdr>
      <w:jc w:val="right"/>
    </w:pPr>
    <w:r>
      <w:rPr>
        <w:rFonts w:ascii="游ゴシック" w:cs="游ゴシック" w:eastAsia="游ゴシック" w:hAnsi="游ゴシック"/>
        <w:color w:val="808080"/>
        <w:sz w:val="15"/>
        <w:szCs w:val="15"/>
      </w:rPr>
      <w:t xml:space="preserve">川崎町 介護保険料 県内比較・要因分析レポート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2026-06-29T08:52:00.122Z</dcterms:created>
  <dcterms:modified xsi:type="dcterms:W3CDTF">2026-06-29T08:52:00.122Z</dcterms:modified>
</cp:coreProperties>
</file>

<file path=docProps/custom.xml><?xml version="1.0" encoding="utf-8"?>
<Properties xmlns="http://schemas.openxmlformats.org/officeDocument/2006/custom-properties" xmlns:vt="http://schemas.openxmlformats.org/officeDocument/2006/docPropsVTypes"/>
</file>