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bCs/>
          <w:i w:val="false"/>
          <w:iCs w:val="false"/>
          <w:color w:val="1F3864"/>
          <w:sz w:val="40"/>
          <w:szCs w:val="40"/>
        </w:rPr>
        <w:t xml:space="preserve">川崎町高齢者保健福祉計画</w:t>
      </w:r>
    </w:p>
    <w:p>
      <w:pPr>
        <w:spacing w:after="480" w:before="0"/>
        <w:jc w:val="center"/>
      </w:pPr>
      <w:r>
        <w:rPr>
          <w:rFonts w:ascii="游ゴシック" w:cs="游ゴシック" w:eastAsia="游ゴシック" w:hAnsi="游ゴシック"/>
          <w:b/>
          <w:bCs/>
          <w:i w:val="false"/>
          <w:iCs w:val="false"/>
          <w:color w:val="1F3864"/>
          <w:sz w:val="40"/>
          <w:szCs w:val="40"/>
        </w:rPr>
        <w:t xml:space="preserve">第10期介護保険事業計画</w:t>
      </w:r>
    </w:p>
    <w:p>
      <w:pPr>
        <w:spacing w:after="240" w:before="240"/>
        <w:jc w:val="center"/>
      </w:pPr>
      <w:r>
        <w:rPr>
          <w:rFonts w:ascii="游ゴシック" w:cs="游ゴシック" w:eastAsia="游ゴシック" w:hAnsi="游ゴシック"/>
          <w:b w:val="false"/>
          <w:bCs w:val="false"/>
          <w:i/>
          <w:iCs/>
          <w:color w:val="2F5597"/>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bCs/>
          <w:i w:val="false"/>
          <w:iCs w:val="false"/>
          <w:color w:val="ED7D31"/>
          <w:sz w:val="28"/>
          <w:szCs w:val="28"/>
        </w:rPr>
        <w:t xml:space="preserve">計画書素案 Ver.1.9</w:t>
      </w:r>
    </w:p>
    <w:p>
      <w:pPr>
        <w:spacing w:after="80" w:before="80"/>
        <w:jc w:val="center"/>
      </w:pPr>
      <w:r>
        <w:rPr>
          <w:rFonts w:ascii="游ゴシック" w:cs="游ゴシック" w:eastAsia="游ゴシック" w:hAnsi="游ゴシック"/>
          <w:b w:val="false"/>
          <w:bCs w:val="false"/>
          <w:i/>
          <w:iCs/>
          <w:color w:val="595959"/>
          <w:sz w:val="18"/>
          <w:szCs w:val="18"/>
        </w:rPr>
        <w:t xml:space="preserve">（アンケート調査結果 反映版）</w:t>
      </w:r>
    </w:p>
    <w:p>
      <w:pPr>
        <w:spacing w:after="80" w:before="2400"/>
        <w:jc w:val="center"/>
      </w:pPr>
      <w:r>
        <w:rPr>
          <w:rFonts w:ascii="游ゴシック" w:cs="游ゴシック" w:eastAsia="游ゴシック" w:hAnsi="游ゴシック"/>
          <w:b w:val="false"/>
          <w:bCs w:val="false"/>
          <w:i w:val="false"/>
          <w:iCs w:val="false"/>
          <w:color w:val="595959"/>
          <w:sz w:val="22"/>
          <w:szCs w:val="22"/>
        </w:rPr>
        <w:t xml:space="preserve">計画期間：令和9年度〜令和11年度</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令和8年6月</w:t>
      </w:r>
    </w:p>
    <w:p>
      <w:pPr>
        <w:spacing w:after="80" w:before="80"/>
        <w:jc w:val="center"/>
      </w:pPr>
      <w:r>
        <w:rPr>
          <w:rFonts w:ascii="游ゴシック" w:cs="游ゴシック" w:eastAsia="游ゴシック" w:hAnsi="游ゴシック"/>
          <w:b w:val="false"/>
          <w:bCs w:val="false"/>
          <w:i w:val="false"/>
          <w:iCs w:val="false"/>
          <w:color w:val="595959"/>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color w:val="595959"/>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pacing w:after="360" w:before="480" w:line="320"/>
        <w:jc w:val="center"/>
      </w:pPr>
      <w:r>
        <w:rPr>
          <w:rFonts w:ascii="游ゴシック" w:cs="游ゴシック" w:eastAsia="游ゴシック" w:hAnsi="游ゴシック"/>
          <w:b/>
          <w:bCs/>
          <w:i w:val="false"/>
          <w:iCs w:val="false"/>
          <w:color w:val="1F3864"/>
          <w:sz w:val="36"/>
          <w:szCs w:val="36"/>
        </w:rPr>
        <w:t xml:space="preserve">ご　挨　拶</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false"/>
          <w:bCs w:val="false"/>
          <w:i w:val="false"/>
          <w:iCs w:val="false"/>
          <w:color w:val="000000"/>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false"/>
          <w:bCs w:val="false"/>
          <w:i w:val="false"/>
          <w:iCs w:val="false"/>
          <w:color w:val="000000"/>
          <w:sz w:val="22"/>
          <w:szCs w:val="22"/>
        </w:rPr>
        <w:t xml:space="preserve">令和9年3月</w:t>
      </w:r>
    </w:p>
    <w:p>
      <w:pPr>
        <w:spacing w:after="80" w:before="240"/>
        <w:jc w:val="right"/>
      </w:pPr>
      <w:r>
        <w:rPr>
          <w:rFonts w:ascii="游ゴシック" w:cs="游ゴシック" w:eastAsia="游ゴシック" w:hAnsi="游ゴシック"/>
          <w:b/>
          <w:bCs/>
          <w:i w:val="false"/>
          <w:iCs w:val="false"/>
          <w:color w:val="000000"/>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24"/>
        </w:pBdr>
        <w:spacing w:after="480" w:before="240" w:line="320"/>
        <w:jc w:val="center"/>
      </w:pPr>
      <w:r>
        <w:rPr>
          <w:rFonts w:ascii="游ゴシック" w:cs="游ゴシック" w:eastAsia="游ゴシック" w:hAnsi="游ゴシック"/>
          <w:b/>
          <w:bCs/>
          <w:i w:val="false"/>
          <w:iCs w:val="false"/>
          <w:color w:val="1F3864"/>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1F3864"/>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1F3864"/>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1F3864"/>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20"/>
                <w:szCs w:val="20"/>
              </w:rPr>
              <w:t xml:space="preserve">43</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left"/>
      </w:pPr>
      <w:r>
        <w:rPr>
          <w:rFonts w:ascii="游ゴシック" w:cs="游ゴシック" w:eastAsia="游ゴシック" w:hAnsi="游ゴシック"/>
          <w:b w:val="false"/>
          <w:bCs w:val="false"/>
          <w:i/>
          <w:iCs/>
          <w:color w:val="595959"/>
          <w:sz w:val="18"/>
          <w:szCs w:val="18"/>
        </w:rPr>
        <w:t xml:space="preserve">※本素案Ver.1.9は、令和8年6〜7月に実施した2調査（一般高齢者576件・要支援要介護認定者142件）の結果に加え、令和8年9月1日に町からご提供いただいた実績データ、保険者機能強化推進交付金等の評価結果、及び令和8年9月2日の第1回策定委員会でのご意見を反映した版です。第9期の事業実績（町ご記入分）及び関連施策評価調査の結果を反映のうえ、Ver.2.0として更新する予定で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1F3864"/>
          <w:sz w:val="48"/>
          <w:szCs w:val="48"/>
        </w:rPr>
        <w:t xml:space="preserve">第 1 章</w:t>
      </w:r>
    </w:p>
    <w:p>
      <w:pPr>
        <w:pBdr>
          <w:top w:val="single" w:color="1F3864" w:sz="24"/>
          <w:bottom w:val="single" w:color="1F3864" w:sz="24"/>
        </w:pBdr>
        <w:shd w:fill="DAE3F3" w:val="solid"/>
        <w:spacing w:after="240" w:before="0" w:line="320"/>
        <w:jc w:val="center"/>
      </w:pPr>
      <w:r>
        <w:rPr>
          <w:rFonts w:ascii="游ゴシック" w:cs="游ゴシック" w:eastAsia="游ゴシック" w:hAnsi="游ゴシック"/>
          <w:b/>
          <w:bCs/>
          <w:i w:val="false"/>
          <w:iCs w:val="false"/>
          <w:color w:val="1F3864"/>
          <w:sz w:val="32"/>
          <w:szCs w:val="32"/>
        </w:rPr>
        <w:t xml:space="preserve">計画の策定にあたって</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1-1　計画策定の背景と目的</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川崎町の現状と課題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本計画の目的</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本計画は、介護保険法・老人福祉法・認知症基本法の3つの法律に基づく一体的計画である。</w:t>
      </w:r>
    </w:p>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1-2　計画の位置付け</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本計画は、以下の法令・上位計画・関連計画との整合を図りながら策定します。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法令上の根拠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共生社会の実現を推進するための認知症基本法第14条（市町村認知症施策推進計画）</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計画名</w:t>
            </w:r>
          </w:p>
        </w:tc>
        <w:tc>
          <w:tcPr>
            <w:tcW w:type="pct" w:w="4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整合の方針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町の総合的なまちづくり方針との整合を確保</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3計画同時策定のメリットを活かし、移送サービス・重層的支援体制等の重複論点を整理して整合を確保（受託：ジャパン総研）</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健康寿命延伸・介護予防の観点で項目相互参照</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社協独自計画。フレイル予防・介護予防事業のタイアップで連動（整合性確認は不要と整理）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国指針の3層整合（国→県→町）の原則に基づく</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県計画との整合（広域連携・人材確保）</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1-3　計画の期間</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期間</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令和6年度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令和8年度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令和9年度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令和10年度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令和11年度</w:t>
            </w:r>
          </w:p>
        </w:tc>
        <w:tc>
          <w:tcPr>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令和12年度</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第9期</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shd w:fill="ED7D3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pBdr>
          <w:bottom w:val="single" w:color="1F3864" w:sz="18"/>
        </w:pBdr>
        <w:spacing w:after="160" w:before="360" w:line="320"/>
      </w:pPr>
      <w:r>
        <w:rPr>
          <w:rFonts w:ascii="游ゴシック" w:cs="游ゴシック" w:eastAsia="游ゴシック" w:hAnsi="游ゴシック"/>
          <w:b/>
          <w:bCs/>
          <w:i w:val="false"/>
          <w:iCs w:val="false"/>
          <w:color w:val="1F3864"/>
          <w:sz w:val="26"/>
          <w:szCs w:val="26"/>
        </w:rPr>
        <w:t>1-4　計画策定の体制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本計画は、以下の体制で策定します。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策定委員会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住民意見の反映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一般高齢者ニーズ調査（対象：65歳以上の高齢者1,000名）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要支援・要介護認定者調査（対象：認定者300名）</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pBdr>
          <w:bottom w:val="single" w:color="1F3864" w:sz="4"/>
        </w:pBdr>
        <w:shd w:fill="DAE3F3" w:val="solid"/>
        <w:spacing w:after="120" w:before="220" w:line="300"/>
      </w:pPr>
      <w:r>
        <w:rPr>
          <w:rFonts w:ascii="游ゴシック" w:cs="游ゴシック" w:eastAsia="游ゴシック" w:hAnsi="游ゴシック"/>
          <w:b/>
          <w:bCs/>
          <w:i w:val="false"/>
          <w:iCs w:val="false"/>
          <w:color w:val="1F3864"/>
          <w:sz w:val="22"/>
          <w:szCs w:val="22"/>
        </w:rPr>
        <w:t xml:space="preserve">　▌ 関係機関等との連携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375623"/>
          <w:sz w:val="48"/>
          <w:szCs w:val="48"/>
        </w:rPr>
        <w:t xml:space="preserve">第 2 章</w:t>
      </w:r>
    </w:p>
    <w:p>
      <w:pPr>
        <w:pBdr>
          <w:top w:val="single" w:color="375623" w:sz="24"/>
          <w:bottom w:val="single" w:color="375623" w:sz="24"/>
        </w:pBdr>
        <w:shd w:fill="E2EFDA" w:val="solid"/>
        <w:spacing w:after="240" w:before="0" w:line="320"/>
        <w:jc w:val="center"/>
      </w:pPr>
      <w:r>
        <w:rPr>
          <w:rFonts w:ascii="游ゴシック" w:cs="游ゴシック" w:eastAsia="游ゴシック" w:hAnsi="游ゴシック"/>
          <w:b/>
          <w:bCs/>
          <w:i w:val="false"/>
          <w:iCs w:val="false"/>
          <w:color w:val="375623"/>
          <w:sz w:val="32"/>
          <w:szCs w:val="32"/>
        </w:rPr>
        <w:t xml:space="preserve">川崎町の高齢者を取り巻く現状</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2-1　人口・世帯の現状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令和3年度末
（2022.3）</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令和7年6月
（2025.6）</w:t>
            </w:r>
          </w:p>
        </w:tc>
        <w:tc>
          <w:tcPr>
            <w:tcW w:type="pct" w:w="1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増減数</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C00000"/>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3,244人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△0.3%</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（再掲）後期高齢者75歳以上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1,510人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1,675人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548235"/>
                <w:sz w:val="18"/>
                <w:szCs w:val="18"/>
              </w:rPr>
              <w:t xml:space="preserve">+165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+10.9%</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（再掲）住所地特例</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24人</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△29.4%</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 R7.6月分・年報データR3年度）</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図2-1　第1号被保険者の年齢階級別推移（R3年度末→R7.6月）</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人口動態（令和7年6月単月）</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・当月中増：11人（うち65歳到達8人・転入2人・その他1人）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・当月中減：15人（うち死亡12人・転出3人）</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・自然動態は減少局面（死亡&gt;65歳到達）に入っており、第1号被保険者数は今後緩やかに減少する見込み</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世帯の状況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2-2　高齢者の状況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高齢化率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図2-5　高齢化率比較（令和7年3月31日時点）</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4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w:t>
            </w:r>
          </w:p>
        </w:tc>
        <w:tc>
          <w:tcPr>
            <w:tcW w:type="pct" w:w="15%"/>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c>
          <w:tcPr>
            <w:tcW w:type="pct" w:w="2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13.2%</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8.4%</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14.3%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第5段階</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21.4%</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11.8%</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課税層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3,255人</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令和3年度・様式1所得段階別）</w:t>
      </w:r>
    </w:p>
    <w:p>
      <w:pPr>
        <w:spacing w:after="6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2-3　要介護認定とサービス利用の状況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要介護1</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要介護2</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要介護3</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要介護4</w:t>
            </w:r>
          </w:p>
        </w:tc>
        <w:tc>
          <w:tcPr>
            <w:tcW w:type="pct" w:w="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要介護5</w:t>
            </w:r>
          </w:p>
        </w:tc>
        <w:tc>
          <w:tcPr>
            <w:tcW w:type="pct" w:w="16%"/>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134人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21</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13</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22</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延べ合計（重複あり）</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123</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78</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466人</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出典：介護保険事業状況報告（保険者データ202506・様式1の6）</w:t>
      </w:r>
    </w:p>
    <w:p>
      <w:pPr>
        <w:spacing w:after="60" w:before="120"/>
        <w:jc w:val="center"/>
      </w:pPr>
      <w: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地区別の認定者・サービス利用状況、町外施設利用者の所在自治体内訳は、町担当課から経年データを入手次第追記します。</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2-4　介護給付費の状況</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年間給付費（令和3年度実績）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サービス区分</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要支援計</w:t>
            </w:r>
          </w:p>
        </w:tc>
        <w:tc>
          <w:tcPr>
            <w:tcW w:type="pct" w:w="1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要介護計</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合計（円）</w:t>
            </w:r>
          </w:p>
        </w:tc>
        <w:tc>
          <w:tcPr>
            <w:tcW w:type="pct" w:w="14%"/>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居宅サービス計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26,821,755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339,234,895</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366,056,650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2,490,773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54,605,942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57,096,715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16,765,707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173,710,493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190,476,200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19.8%</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地域密着型計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152,764,596</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15.9%</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施設サービス計</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441,678,518</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193,053,976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248,624,542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25.9%</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26,821,755</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933,678,009</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960,499,764</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令和3年度・様式2給付費）</w:t>
      </w:r>
    </w:p>
    <w:p>
      <w:pPr>
        <w:spacing w:after="60" w:before="12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図2-3　サービス区分別の年間給付費（令和3年度実績・総額9.6億円）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令和3年度のサービス種類別給付費合計は約9.6億円。施設サービスが46.0%、居宅サービスが38.1%、地域密着型が15.9%の構成。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施設サービスが給付費全体の46.0%を占めていることは、川崎町の介護給付構造の大きな特徴です。受給者数では28.8%（134人）に過ぎない施設サービス利用者が、給付費の半分近くを占めるのは、施設サービスの1人当たり単価が居宅サービスより大幅に高いためです。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一方、居宅サービス内訳では通所サービス（デイサービス・デイケア）が約1.9億円（給付費全体の19.8%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8,249万円と地域密着型給付費の54%を占め、認知症ケアにおける重要拠点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介護保険特別会計の状況（令和3年度）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金額（円）</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構成比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 計</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1,042,179,056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933,658,461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26,841,303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26,815,719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52,467,842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5.0%</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 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32,071,763</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出典：年報データ2021（介護保険事業状況報告 令和3年度・様式4）</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保険料収納実績（令和3年度）</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・調定額累計：237,836,453円　収納額累計：229,136,570円</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・収納率合計：96.3%（特別徴収100%・普通徴収現年度分87.3%）</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・不納欠損額：1,207,220円　未収額：7,492,663円</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収納率96.3%は高水準。第10期保険料試算における予定収納率の根拠となる。</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2-5　高齢者を取り巻く地域資源</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地域包括支援センター</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医療資源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認知症関連資源</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ユニバーサルサポーター14種別約400名は川崎町独自の重要な地域資源。第10期の生活支援体制整備・通いの場展開の中核となる。</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移動支援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これらの所管は地域振興課・町民生活課・社協・NPO法人と分かれており、第10期では移動支援全体を俯瞰した整理と利用情報の住民への提供が課題です。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xml:space="preserve">　▌ 独自施策</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・高齢者紙おむつ等支給事業</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・人工透析患者通院交通費助成事業</w:t>
      </w:r>
    </w:p>
    <w:p>
      <w:pPr>
        <w:pBdr>
          <w:bottom w:val="single" w:color="375623" w:sz="18"/>
        </w:pBdr>
        <w:spacing w:after="160" w:before="360" w:line="320"/>
      </w:pPr>
      <w:r>
        <w:rPr>
          <w:rFonts w:ascii="游ゴシック" w:cs="游ゴシック" w:eastAsia="游ゴシック" w:hAnsi="游ゴシック"/>
          <w:b/>
          <w:bCs/>
          <w:i w:val="false"/>
          <w:iCs w:val="false"/>
          <w:color w:val="375623"/>
          <w:sz w:val="26"/>
          <w:szCs w:val="26"/>
        </w:rPr>
        <w:t>2-6　調査結果からみた高齢者の状況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対象・配布</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有効回答</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介護予防・日常生活圏域ニーズ調査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要介護認定を受けていない65歳以上の方　1,000名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576件</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在宅介護実態調査</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要支援・要介護認定者　300名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142件</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世帯構成と生活基盤（ニーズ調査）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1人暮らし</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14.7％（83件）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夫婦2人暮らし（配偶者65歳以上）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33.5％（189件）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高齢者のみの世帯は合わせて48.2％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息子・娘との2世帯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23.0％（130件）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その他24.1％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普段の介護・介助が必要ない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85.6％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「必要だが受けていない」8.4％、「受けている」5.9％（n=557）</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経済的に苦しい（大変＋やや）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n=560。健康状態の悪化と関連がみられる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持家（一戸建て）</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95.3％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n=556</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身体機能・転倒・外出（ニーズ調査）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過去1年間に転倒した経験がある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「何度もある」11.0％＋「1度ある」22.6％（n=572）</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転倒に対する不安がある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51.9％</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「とても」14.2％＋「やや」37.8％（n=543）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外出を控えている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19.1％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n=540。理由は足腰などの痛み55.4％、交通手段がない19.8％（n=101）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移動手段：自動車（自分で運転）</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74.1％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n=536</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移動手段：路線バス</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タクシー3.2％。公共交通の利用は極めて少ない</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社会参加と担い手（ニーズ調査）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84.1％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n=439。参加率は15.9％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その他の活動に参加していない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学習89.0％・老人クラブ84.1％・町内会59.4％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ボランティア77.6％・スポーツ76.1％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グループ活動に参加者として参加したい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55.2％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「是非」9.2％＋「参加してもよい」46.0％（n=543）</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企画・運営として参加したい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41.4％</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n=539。担い手の確保が課題</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趣味がある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68.1％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生きがいがある55.3％（n=519）。両者には強い関連（p＜0.001）</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健康・こころ・認知症（ニーズ調査）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健康状態が良くない（あまり＋よくない）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23.6％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n=551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この1か月に気分が沈むことがあった</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34.7％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物事に興味がわかなかった25.0％（n=541）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物忘れが多いと感じる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41.8％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今日が何月何日かわからない時がある30.3％（n=558）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治療中の病気：高血圧</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54.2％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目の病気22.2％・高脂血症18.0％・筋骨格18.0％・糖尿病17.6％（n=528）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本人又は家族に認知症の症状がある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11.1％</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n=541</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認知症の相談窓口を知っている</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47.7％</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n=547。知らない52.3％</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相談・支援体制（ニーズ調査）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家族・友人以外に相談できる相手がいない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n=484。世帯構成による差は小さい（37.0〜43.5％）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心配事や愚痴を聞いてくれる人がいない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3.8％</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看病や世話をしてくれる人がいない3.6％（n=554）</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友人・知人と会う頻度がほとんどない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8.6％</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この1か月に会った友人・知人が0人 8.9％（n=540）</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8%"/>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調査結果</w:t>
            </w:r>
          </w:p>
        </w:tc>
        <w:tc>
          <w:tcPr>
            <w:tcW w:type="pct" w:w="22%"/>
            <w:shd w:fill="37562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補足</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施設等への入所・入居を申込済み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33.8％（47件）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検討中14.4％を合わせて48.2％（n=139）</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家族・親族の介護が「ない」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45.8％（65件）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この層の56.9％が申込済み（介護が「ある」層は13.5％）</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単身世帯の施設申込済み</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69.4％（25／36件）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分類「その他（子との同居等）」の世帯18.6％の3.7倍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介護保険サービスを利用していない</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58.7％（81件）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未利用層の48.8％が申込済み（利用層は14.3％・n=138）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家族介護もサービス利用もない世帯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50件（36.2％）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両設問に有効回答があった138件が分母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主な介護者が離職した世帯</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9件（13.2％）</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離職・転職を含めると13件（19.1％・n=68）</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主な介護者の70歳以上</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42.1％（32件）</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n=76。介護者の高齢化が進んでいる</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主な介護者の不安（最多）</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外出の付き添い・送迎等／認知症状への対応　ともに33.3％</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入浴・洗身26.7％、食事準備24.0％（n=75）</w:t>
            </w:r>
          </w:p>
        </w:tc>
      </w:tr>
    </w:tbl>
    <w:p>
      <w:pPr>
        <w:pBdr>
          <w:bottom w:val="single" w:color="375623" w:sz="4"/>
        </w:pBdr>
        <w:shd w:fill="E2EFDA" w:val="solid"/>
        <w:spacing w:after="120" w:before="220" w:line="300"/>
      </w:pPr>
      <w:r>
        <w:rPr>
          <w:rFonts w:ascii="游ゴシック" w:cs="游ゴシック" w:eastAsia="游ゴシック" w:hAnsi="游ゴシック"/>
          <w:b/>
          <w:bCs/>
          <w:i w:val="false"/>
          <w:iCs w:val="false"/>
          <w:color w:val="375623"/>
          <w:sz w:val="22"/>
          <w:szCs w:val="22"/>
        </w:rPr>
        <w:t>▌ 調査から確認された構造的な課題</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転倒の経験・転倒への不安・外出控えが連鎖している。転倒予防と外出支援は一体で検討する必要がある。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移動が自動車に大きく依存しており（自分で運転74.1％）、運転が困難になった後の移動手段が乏しい。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グループ活動への参加意向は55.2％ある一方、企画・運営の担い手は41.4％にとどまる。</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相談窓口が届いていない。世帯構成によらず4割前後が家族・友人以外の相談相手を持たない。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在宅の要介護者では、施設入所の申込みを最も強く分けているのは要介護度ではなく家族介護者の有無である。</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2E75B6"/>
          <w:sz w:val="48"/>
          <w:szCs w:val="48"/>
        </w:rPr>
        <w:t xml:space="preserve">第 3 章</w:t>
      </w:r>
    </w:p>
    <w:p>
      <w:pPr>
        <w:pBdr>
          <w:top w:val="single" w:color="2E75B6" w:sz="24"/>
          <w:bottom w:val="single" w:color="2E75B6" w:sz="24"/>
        </w:pBdr>
        <w:shd w:fill="DAE3F3" w:val="solid"/>
        <w:spacing w:after="240" w:before="0" w:line="320"/>
        <w:jc w:val="center"/>
      </w:pPr>
      <w:r>
        <w:rPr>
          <w:rFonts w:ascii="游ゴシック" w:cs="游ゴシック" w:eastAsia="游ゴシック" w:hAnsi="游ゴシック"/>
          <w:b/>
          <w:bCs/>
          <w:i w:val="false"/>
          <w:iCs w:val="false"/>
          <w:color w:val="2E75B6"/>
          <w:sz w:val="32"/>
          <w:szCs w:val="32"/>
        </w:rPr>
        <w:t xml:space="preserve">第9期計画の取組実績と評価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3-1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第9期計画策定の経緯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第9期計画の体系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・基本方針1：健康づくりの推進（第2部 第1章）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b w:val="false"/>
          <w:bCs w:val="false"/>
          <w:i w:val="false"/>
          <w:iCs w:val="false"/>
          <w:color w:val="000000"/>
          <w:sz w:val="20"/>
          <w:szCs w:val="20"/>
        </w:rPr>
        <w:t xml:space="preserve">・基本方針5：介護給付・介護予防給付サービスの充実（第2部 第5章）</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3-2　主要施策の取組実績</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第9期取組実績の確定値は、別添『川崎町_第9期実績一覧_町記入用.xlsx』との連動で管理する。本素案Ver.1.9では事業項目と既知数値を提示する。</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【町確認・最新値】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C00000"/>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R7.3 終了</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548235"/>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R7.10 開始</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受給者数で参考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R7.6＝24人</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R7=4名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R7=SC25名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R3＝3,207万円</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主な事業</w:t>
            </w:r>
          </w:p>
        </w:tc>
        <w:tc>
          <w:tcPr>
            <w:tcW w:type="pct" w:w="3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規模・既知実績</w:t>
            </w:r>
          </w:p>
        </w:tc>
        <w:tc>
          <w:tcPr>
            <w:tcW w:type="pct" w:w="1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R6/R7実績値</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R7=550名累計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R7=73名累計</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R7＝未整備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R7＝未実施</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pBdr>
          <w:bottom w:val="single" w:color="2E75B6" w:sz="4"/>
        </w:pBdr>
        <w:shd w:fill="DAE3F3" w:val="solid"/>
        <w:spacing w:after="120" w:before="220" w:line="300"/>
      </w:pPr>
      <w:r>
        <w:rPr>
          <w:rFonts w:ascii="游ゴシック" w:cs="游ゴシック" w:eastAsia="游ゴシック" w:hAnsi="游ゴシック"/>
          <w:b/>
          <w:bCs/>
          <w:i w:val="false"/>
          <w:iCs w:val="false"/>
          <w:color w:val="2E75B6"/>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本節の項目</w:t>
            </w:r>
          </w:p>
        </w:tc>
        <w:tc>
          <w:tcPr>
            <w:tcW w:type="pct" w:w="3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対応する実績一覧シート</w:t>
            </w:r>
          </w:p>
        </w:tc>
        <w:tc>
          <w:tcPr>
            <w:tcW w:type="pct" w:w="1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反映時期</w:t>
            </w:r>
          </w:p>
        </w:tc>
        <w:tc>
          <w:tcPr>
            <w:tcW w:type="pct" w:w="2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3-2-1 健康づくり・介護予防</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3-2-2 仕組みづくり</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3-2-3 在宅生活継続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3-2-4 質の確保・人材</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2F5597"/>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3-2-5 包括ケア深化</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3-2-6 認知症施策</w:t>
            </w:r>
          </w:p>
        </w:tc>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A（基本法対応・最重要）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3-3　評価指標の達成状況</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pBdr>
          <w:bottom w:val="single" w:color="2E75B6" w:sz="18"/>
        </w:pBdr>
        <w:spacing w:after="160" w:before="360" w:line="320"/>
      </w:pPr>
      <w:r>
        <w:rPr>
          <w:rFonts w:ascii="游ゴシック" w:cs="游ゴシック" w:eastAsia="游ゴシック" w:hAnsi="游ゴシック"/>
          <w:b/>
          <w:bCs/>
          <w:i w:val="false"/>
          <w:iCs w:val="false"/>
          <w:color w:val="2E75B6"/>
          <w:sz w:val="26"/>
          <w:szCs w:val="26"/>
        </w:rPr>
        <w:t>3-4　第10期に向けた課題</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課題</w:t>
            </w:r>
          </w:p>
        </w:tc>
        <w:tc>
          <w:tcPr>
            <w:tcW w:type="pct" w:w="62%"/>
            <w:shd w:fill="2E75B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C55A11"/>
          <w:sz w:val="48"/>
          <w:szCs w:val="48"/>
        </w:rPr>
        <w:t xml:space="preserve">第 4 章</w:t>
      </w:r>
    </w:p>
    <w:p>
      <w:pPr>
        <w:pBdr>
          <w:top w:val="single" w:color="C55A11" w:sz="24"/>
          <w:bottom w:val="single" w:color="C55A11" w:sz="24"/>
        </w:pBdr>
        <w:shd w:fill="FCE4D6" w:val="solid"/>
        <w:spacing w:after="240" w:before="0" w:line="320"/>
        <w:jc w:val="center"/>
      </w:pPr>
      <w:r>
        <w:rPr>
          <w:rFonts w:ascii="游ゴシック" w:cs="游ゴシック" w:eastAsia="游ゴシック" w:hAnsi="游ゴシック"/>
          <w:b/>
          <w:bCs/>
          <w:i w:val="false"/>
          <w:iCs w:val="false"/>
          <w:color w:val="C55A11"/>
          <w:sz w:val="32"/>
          <w:szCs w:val="32"/>
        </w:rPr>
        <w:t xml:space="preserve">計画の基本理念と基本目標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4-1　基本理念（第9期踏襲）</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基本理念（案）</w:t>
      </w:r>
    </w:p>
    <w:p>
      <w:pPr>
        <w:pBdr>
          <w:top w:val="double" w:color="C55A11" w:sz="18"/>
          <w:bottom w:val="double" w:color="C55A11" w:sz="18"/>
        </w:pBdr>
        <w:shd w:fill="FCE4D6" w:val="solid"/>
        <w:spacing w:after="240" w:before="240" w:line="360"/>
        <w:jc w:val="center"/>
      </w:pPr>
      <w:r>
        <w:rPr>
          <w:rFonts w:ascii="游ゴシック" w:cs="游ゴシック" w:eastAsia="游ゴシック" w:hAnsi="游ゴシック"/>
          <w:b/>
          <w:bCs/>
          <w:i w:val="false"/>
          <w:iCs w:val="false"/>
          <w:color w:val="C55A11"/>
          <w:sz w:val="32"/>
          <w:szCs w:val="32"/>
        </w:rPr>
        <w:t xml:space="preserve">誰もが健やかに暮らせるまちづくり</w:t>
      </w:r>
    </w:p>
    <w:p>
      <w:pPr>
        <w:pBdr>
          <w:bottom w:val="single" w:color="C55A11" w:sz="4"/>
        </w:pBdr>
        <w:shd w:fill="FCE4D6" w:val="solid"/>
        <w:spacing w:after="120" w:before="220" w:line="300"/>
      </w:pPr>
      <w:r>
        <w:rPr>
          <w:rFonts w:ascii="游ゴシック" w:cs="游ゴシック" w:eastAsia="游ゴシック" w:hAnsi="游ゴシック"/>
          <w:b/>
          <w:bCs/>
          <w:i w:val="false"/>
          <w:iCs w:val="false"/>
          <w:color w:val="C55A11"/>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false"/>
          <w:bCs w:val="false"/>
          <w:i/>
          <w:iCs/>
          <w:color w:val="C55A11"/>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基本理念の本文・サブタイトル案は、第1回策定委員会（令和8年9月2日）でご審議いただき、確定します。</w:t>
      </w:r>
    </w:p>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4-2　基本目標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第9期計画の基本方針</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第10期計画の基本目標</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考え方</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介護予防を明示して継承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　高齢者が安心して暮らせる</w:t>
            </w:r>
          </w:p>
          <w:p>
            <w:pPr>
              <w:spacing w:after="40" w:before="40" w:line="260"/>
              <w:jc w:val="left"/>
            </w:pPr>
            <w:r>
              <w:rPr>
                <w:rFonts w:ascii="游ゴシック" w:cs="游ゴシック" w:eastAsia="游ゴシック" w:hAnsi="游ゴシック"/>
                <w:b/>
                <w:bCs/>
                <w:i w:val="false"/>
                <w:iCs w:val="false"/>
                <w:color w:val="000000"/>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見守り・移動支援・住まいを含めて継承</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在宅生活の継続という観点で再構成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目的別に配置</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　介護給付・介護予防給付</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　介護サービスの質の確保と</w:t>
            </w:r>
          </w:p>
          <w:p>
            <w:pPr>
              <w:spacing w:after="40" w:before="40" w:line="260"/>
              <w:jc w:val="left"/>
            </w:pPr>
            <w:r>
              <w:rPr>
                <w:rFonts w:ascii="游ゴシック" w:cs="游ゴシック" w:eastAsia="游ゴシック" w:hAnsi="游ゴシック"/>
                <w:b/>
                <w:bCs/>
                <w:i w:val="false"/>
                <w:iCs w:val="false"/>
                <w:color w:val="000000"/>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供給体制・人材確保を加えて再構成</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（基本方針4・5に含まれていた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地域包括ケアの深化を独立させた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（基本方針3に含まれていた</w:t>
            </w:r>
          </w:p>
          <w:p>
            <w:pPr>
              <w:spacing w:after="40" w:before="40" w:line="260"/>
              <w:jc w:val="center"/>
            </w:pPr>
            <w:r>
              <w:rPr>
                <w:rFonts w:ascii="游ゴシック" w:cs="游ゴシック" w:eastAsia="游ゴシック" w:hAnsi="游ゴシック"/>
                <w:b/>
                <w:bCs/>
                <w:i w:val="false"/>
                <w:iCs w:val="false"/>
                <w:color w:val="000000"/>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基本目標</w:t>
            </w:r>
          </w:p>
        </w:tc>
        <w:tc>
          <w:tcPr>
            <w:tcW w:type="pct" w:w="7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健康寿命の延伸・フレイル予防・通いの場の充実・口腔と栄養の支援を推進し、高齢者がいつまでも元気に生活できる地域づくりを進めます。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見守り・地域支え合い・移動支援・住まいの確保等、独居高齢者・高齢者世帯・老老介護世帯が安心して暮らせる仕組みを整えます。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在宅医療・介護連携、家族介護者支援、緊急時対応、住宅改修等により、住み慣れた自宅・地域での生活継続を支援します。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介護サービスの質の確保、町外施設利用も含めた供給体制の整備、介護人材の確保・育成を推進します。</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地域包括支援センターを中心に、医療・介護・予防・住まい・生活支援を一体的に提供する地域包括ケアシステムをさらに深化させます。</w:t>
            </w:r>
          </w:p>
        </w:tc>
      </w:tr>
      <w:tr>
        <w:tc>
          <w:tcPr>
            <w:shd w:fill="EAD5F0"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4-3　計画の重点ポイント（4つの重点）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w:t>
            </w:r>
          </w:p>
        </w:tc>
        <w:tc>
          <w:tcPr>
            <w:tcW w:type="pct" w:w="2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66%"/>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対応する基本目標・関連施策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基本目標6を新設し、独立章（第6章）として位置付け。本人意見反映・チームオレンジ整備・認知症カフェ充実</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基本目標2。タクシー助成終了後の社協・NPO移送＋デマンドバスの周知強化、施設偏在への対応</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基本目標3・5。8050問題・老老介護への対応、介護者レスパイト、包括センター体制強化</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基本目標4。みやぎ県南中核病院等との広域医療連携、住所地特例を含めた施設供給見込量</w:t>
            </w:r>
          </w:p>
        </w:tc>
      </w:tr>
    </w:tbl>
    <w:p>
      <w:pPr>
        <w:pBdr>
          <w:bottom w:val="single" w:color="C55A11" w:sz="18"/>
        </w:pBdr>
        <w:spacing w:after="160" w:before="360" w:line="320"/>
      </w:pPr>
      <w:r>
        <w:rPr>
          <w:rFonts w:ascii="游ゴシック" w:cs="游ゴシック" w:eastAsia="游ゴシック" w:hAnsi="游ゴシック"/>
          <w:b/>
          <w:bCs/>
          <w:i w:val="false"/>
          <w:iCs w:val="false"/>
          <w:color w:val="C55A11"/>
          <w:sz w:val="26"/>
          <w:szCs w:val="26"/>
        </w:rPr>
        <w:t>4-4　計画の体系図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55A11" w:val="solid"/>
          </w:tcPr>
          <w:p>
            <w:pPr>
              <w:spacing w:after="100" w:before="100"/>
              <w:jc w:val="center"/>
            </w:pPr>
            <w:r>
              <w:rPr>
                <w:rFonts w:ascii="游ゴシック" w:cs="游ゴシック" w:eastAsia="游ゴシック" w:hAnsi="游ゴシック"/>
                <w:b/>
                <w:bCs/>
                <w:i w:val="false"/>
                <w:iCs w:val="false"/>
                <w:color w:val="FFFFFF"/>
                <w:sz w:val="22"/>
                <w:szCs w:val="22"/>
              </w:rPr>
              <w:t xml:space="preserve">【基本理念】誰もが健やかに暮らせるまちづくり</w:t>
            </w:r>
          </w:p>
        </w:tc>
      </w:tr>
      <w:tr>
        <w:tc>
          <w:tcPr>
            <w:shd w:fill="FCE4D6" w:val="solid"/>
          </w:tcPr>
          <w:p>
            <w:pPr>
              <w:spacing w:after="80" w:before="80"/>
              <w:jc w:val="center"/>
            </w:pPr>
            <w:r>
              <w:rPr>
                <w:rFonts w:ascii="游ゴシック" w:cs="游ゴシック" w:eastAsia="游ゴシック" w:hAnsi="游ゴシック"/>
                <w:b w:val="false"/>
                <w:bCs w:val="false"/>
                <w:i/>
                <w:iCs/>
                <w:color w:val="C55A11"/>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b/>
                <w:bCs/>
                <w:i w:val="false"/>
                <w:iCs w:val="false"/>
                <w:color w:val="595959"/>
                <w:sz w:val="24"/>
                <w:szCs w:val="24"/>
              </w:rPr>
              <w:t xml:space="preserve">↓</w:t>
            </w:r>
          </w:p>
        </w:tc>
      </w:tr>
      <w:tr>
        <w:tc>
          <w:tcPr>
            <w:shd w:fill="DAE3F3" w:val="solid"/>
          </w:tcPr>
          <w:p>
            <w:pPr>
              <w:spacing w:after="80" w:before="80"/>
              <w:jc w:val="center"/>
            </w:pPr>
            <w:r>
              <w:rPr>
                <w:rFonts w:ascii="游ゴシック" w:cs="游ゴシック" w:eastAsia="游ゴシック" w:hAnsi="游ゴシック"/>
                <w:b/>
                <w:bCs/>
                <w:i w:val="false"/>
                <w:iCs w:val="false"/>
                <w:color w:val="1F3864"/>
                <w:sz w:val="22"/>
                <w:szCs w:val="22"/>
              </w:rPr>
              <w:t xml:space="preserve">【6つの基本目標】</w:t>
            </w:r>
          </w:p>
        </w:tc>
      </w:tr>
    </w:tbl>
    <w:p>
      <w:pPr>
        <w:spacing w:after="80" w:before="80"/>
      </w:pPr>
      <w:r>
        <w:rPr>
          <w:rFonts w:ascii="游ゴシック" w:cs="游ゴシック" w:eastAsia="游ゴシック" w:hAnsi="游ゴシック"/>
          <w:b w:val="false"/>
          <w:bCs w:val="false"/>
          <w:i w:val="false"/>
          <w:iCs w:val="false"/>
          <w:color w:val="000000"/>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5-1</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5-2</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5-3</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5-4</w:t>
            </w:r>
          </w:p>
        </w:tc>
      </w:tr>
      <w:tr>
        <w:tc>
          <w:tcPr>
            <w:shd w:fill="C55A11"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C55A11"/>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 第5章 5-5</w:t>
            </w:r>
          </w:p>
        </w:tc>
      </w:tr>
      <w:tr>
        <w:tc>
          <w:tcPr>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9333B0"/>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9333B0"/>
                <w:sz w:val="18"/>
                <w:szCs w:val="18"/>
              </w:rPr>
              <w:t xml:space="preserve">→ 第6章</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7030A0"/>
          <w:sz w:val="48"/>
          <w:szCs w:val="48"/>
        </w:rPr>
        <w:t xml:space="preserve">第 5 章</w:t>
      </w:r>
    </w:p>
    <w:p>
      <w:pPr>
        <w:pBdr>
          <w:top w:val="single" w:color="7030A0" w:sz="24"/>
          <w:bottom w:val="single" w:color="7030A0" w:sz="24"/>
        </w:pBdr>
        <w:shd w:fill="E4D6F0" w:val="solid"/>
        <w:spacing w:after="240" w:before="0" w:line="320"/>
        <w:jc w:val="center"/>
      </w:pPr>
      <w:r>
        <w:rPr>
          <w:rFonts w:ascii="游ゴシック" w:cs="游ゴシック" w:eastAsia="游ゴシック" w:hAnsi="游ゴシック"/>
          <w:b/>
          <w:bCs/>
          <w:i w:val="false"/>
          <w:iCs w:val="false"/>
          <w:color w:val="7030A0"/>
          <w:sz w:val="32"/>
          <w:szCs w:val="32"/>
        </w:rPr>
        <w:t xml:space="preserve">施策の展開</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独立章として詳述します。</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各施策の住民ニーズ根拠は、令和8年6〜7月に実施した2調査（一般高齢者576件・要支援要介護認定者142件）の結果によります。調査結果の全体像は第2章2-6を参照してください。</w:t>
      </w:r>
    </w:p>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5-1　健康づくり・介護予防の推進（基本目標1）</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町独自指標</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5-2　高齢者が安心して暮らせるまちづくり（基本目標2）</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町・包括・民生委員</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c>
          <w:tcPr>
            <w:tcW w:type="pct" w:w="22%"/>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一般高齢者調査</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5-3　在宅生活継続の支援（基本目標3）</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家族介護者支援については、独居高齢者・高齢者世帯・老老介護世帯の増加、未婚の子と高齢親が同居する8050世帯の課題を踏まえ、家族介護教室・介護相談・レスパイト（短期入所）活用支援を充実させます。特に、家族介護による介護離職を防ぐため、町内事業所との連携による両立支援・相談体制の整備を新規取組として位置付け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町・国保川崎病院</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5-4　介護サービスの質の確保と人材確保（基本目標4）</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人材確保については、全国的・全県的に深刻化する課題であり、本町独自の対応には限界があります。宮城県社会福祉協議会の介護福祉士等修学資金貸付制度等の県事業を積極的に周知し、町内事業所と連携した職場体験・人材定着支援に取り組みます。あわせて、ICT・介護ロボット・センサー等の導入支援により、限られた人材で質の高いサービスを提供できる体制を後押しします。なお、在宅介護実態調査では、主な介護者の70歳以上が42.1％（n=76）を占め、介護を主な理由として過去1年間に離職・転職が生じた世帯が13件（19.1％・n=68）ありました。家族介護者の高齢化と就労との両立は、介護人材の確保と並ぶ地域の担い手の課題で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町・事業所</w:t>
            </w:r>
          </w:p>
        </w:tc>
      </w:tr>
    </w:tbl>
    <w:p>
      <w:pPr>
        <w:pBdr>
          <w:bottom w:val="single" w:color="7030A0" w:sz="18"/>
        </w:pBdr>
        <w:spacing w:after="160" w:before="360" w:line="320"/>
      </w:pPr>
      <w:r>
        <w:rPr>
          <w:rFonts w:ascii="游ゴシック" w:cs="游ゴシック" w:eastAsia="游ゴシック" w:hAnsi="游ゴシック"/>
          <w:b/>
          <w:bCs/>
          <w:i w:val="false"/>
          <w:iCs w:val="false"/>
          <w:color w:val="7030A0"/>
          <w:sz w:val="26"/>
          <w:szCs w:val="26"/>
        </w:rPr>
        <w:t>5-5　地域包括ケアシステムの深化（基本目標5）</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施策の方向性</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事業名</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c>
          <w:tcPr>
            <w:tcW w:type="pct" w:w="14%"/>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主な実施主体</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ED7D31"/>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町・包括</w:t>
            </w:r>
          </w:p>
        </w:tc>
      </w:tr>
    </w:tbl>
    <w:p>
      <w:pPr>
        <w:pBdr>
          <w:bottom w:val="single" w:color="7030A0" w:sz="4"/>
        </w:pBdr>
        <w:shd w:fill="E4D6F0" w:val="solid"/>
        <w:spacing w:after="120" w:before="220" w:line="300"/>
      </w:pPr>
      <w:r>
        <w:rPr>
          <w:rFonts w:ascii="游ゴシック" w:cs="游ゴシック" w:eastAsia="游ゴシック" w:hAnsi="游ゴシック"/>
          <w:b/>
          <w:bCs/>
          <w:i w:val="false"/>
          <w:iCs w:val="false"/>
          <w:color w:val="7030A0"/>
          <w:sz w:val="22"/>
          <w:szCs w:val="22"/>
        </w:rPr>
        <w:t xml:space="preserve">　▌ 成果指標（KPI）まとめ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施策分野</w:t>
            </w:r>
          </w:p>
        </w:tc>
        <w:tc>
          <w:tcPr>
            <w:tcW w:type="pct" w:w="5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主要KPI候補</w:t>
            </w:r>
          </w:p>
        </w:tc>
        <w:tc>
          <w:tcPr>
            <w:tcW w:type="pct" w:w="20%"/>
            <w:shd w:fill="7030A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包括実績</w:t>
            </w:r>
          </w:p>
        </w:tc>
      </w:tr>
    </w:tbl>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9333B0"/>
          <w:sz w:val="48"/>
          <w:szCs w:val="48"/>
        </w:rPr>
        <w:t xml:space="preserve">第 6 章</w:t>
      </w:r>
    </w:p>
    <w:p>
      <w:pPr>
        <w:pBdr>
          <w:top w:val="single" w:color="9333B0" w:sz="24"/>
          <w:bottom w:val="single" w:color="9333B0" w:sz="24"/>
        </w:pBdr>
        <w:shd w:fill="EAD5F0" w:val="solid"/>
        <w:spacing w:after="240" w:before="0" w:line="320"/>
        <w:jc w:val="center"/>
      </w:pPr>
      <w:r>
        <w:rPr>
          <w:rFonts w:ascii="游ゴシック" w:cs="游ゴシック" w:eastAsia="游ゴシック" w:hAnsi="游ゴシック"/>
          <w:b/>
          <w:bCs/>
          <w:i w:val="false"/>
          <w:iCs w:val="false"/>
          <w:color w:val="9333B0"/>
          <w:sz w:val="32"/>
          <w:szCs w:val="32"/>
        </w:rPr>
        <w:t xml:space="preserve">認知症施策推進計画</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6-1　認知症基本法と川崎町の対応方針</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認知症基本法の概要</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川崎町の対応方針</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KPIの3層構造化：プロセス（活動量）・アウトプット（成果物）・アウトカム（住民の変化）の3層でKPIを設定</w:t>
      </w:r>
    </w:p>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6-2　認知症施策の体系（7基本的施策）</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条文</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基本的施策</w:t>
            </w:r>
          </w:p>
        </w:tc>
        <w:tc>
          <w:tcPr>
            <w:tcW w:type="pct" w:w="6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川崎町の対応</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認知症サポーター養成講座の継続（累計550名）。企業・学校サポーター養成の拡大。世界アルツハイマー月間（9月）に合わせた啓発</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公共施設・交通・買い物環境におけるバリアフリー化、認知症の人にやさしい地域づくり</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認知症カフェ「喫茶みかん」の運営継続。認知症本人ミーティング・ピアサポート活動の場の確保</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成年後見制度の利用促進、日常生活自立支援事業の活用、意思決定支援研修の実施</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認知症初期集中支援チームの強化、認知症地域支援推進員の配置、国保川崎病院との連携強化</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地域包括支援センター（社協運営）における認知症相談窓口の充実、もの忘れ相談の継続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認知症本人・家族の意見聴取（基本法第3条対応）、認知症施策への当事者参画</w:t>
            </w:r>
          </w:p>
        </w:tc>
      </w:tr>
    </w:tbl>
    <w:p>
      <w:pPr>
        <w:pBdr>
          <w:bottom w:val="single" w:color="9333B0" w:sz="18"/>
        </w:pBdr>
        <w:spacing w:after="160" w:before="360" w:line="320"/>
      </w:pPr>
      <w:r>
        <w:rPr>
          <w:rFonts w:ascii="游ゴシック" w:cs="游ゴシック" w:eastAsia="游ゴシック" w:hAnsi="游ゴシック"/>
          <w:b/>
          <w:bCs/>
          <w:i w:val="false"/>
          <w:iCs w:val="false"/>
          <w:color w:val="9333B0"/>
          <w:sz w:val="26"/>
          <w:szCs w:val="26"/>
        </w:rPr>
        <w:t>6-3　重点施策とKPI</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重点施策（5本柱）</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No</w:t>
            </w:r>
          </w:p>
        </w:tc>
        <w:tc>
          <w:tcPr>
            <w:tcW w:type="pct" w:w="28%"/>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重点施策</w:t>
            </w:r>
          </w:p>
        </w:tc>
        <w:tc>
          <w:tcPr>
            <w:tcW w:type="pct" w:w="6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累計550名のサポーターを基盤に、企業・学校サポーターを増やし、活動の質を向上。キャラバンメイト（累計73名）の活動継続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認知症サポーターのうち、地域でステップアップしたメンバーによるチームオレンジを整備。本人・家族支援を実践</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認知症カフェ「喫茶みかん」の運営継続。認知症本人ミーティングの新設</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認知症初期集中支援チームの強化、認知症地域支援推進員の活動、もの忘れ相談の継続</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認知症診断・治療における国保川崎病院との連携、認知症初期段階からの医療フォロー</w:t>
            </w:r>
          </w:p>
        </w:tc>
      </w:tr>
    </w:tbl>
    <w:p>
      <w:pPr>
        <w:pBdr>
          <w:bottom w:val="single" w:color="9333B0" w:sz="4"/>
        </w:pBdr>
        <w:shd w:fill="EAD5F0" w:val="solid"/>
        <w:spacing w:after="120" w:before="220" w:line="300"/>
      </w:pPr>
      <w:r>
        <w:rPr>
          <w:rFonts w:ascii="游ゴシック" w:cs="游ゴシック" w:eastAsia="游ゴシック" w:hAnsi="游ゴシック"/>
          <w:b/>
          <w:bCs/>
          <w:i w:val="false"/>
          <w:iCs w:val="false"/>
          <w:color w:val="9333B0"/>
          <w:sz w:val="22"/>
          <w:szCs w:val="22"/>
        </w:rPr>
        <w:t xml:space="preserve">　▌ KPIの3層構造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層</w:t>
            </w:r>
          </w:p>
        </w:tc>
        <w:tc>
          <w:tcPr>
            <w:tcW w:type="pct" w:w="4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指標</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現状値</w:t>
            </w:r>
          </w:p>
        </w:tc>
        <w:tc>
          <w:tcPr>
            <w:tcW w:type="pct" w:w="22%"/>
            <w:shd w:fill="9333B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目標値（R11）</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整備</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r>
        <w:tc>
          <w:tcPr>
            <w:shd w:fill="EAD5F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増加</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0F4F73"/>
          <w:sz w:val="48"/>
          <w:szCs w:val="48"/>
        </w:rPr>
        <w:t xml:space="preserve">第 7 章</w:t>
      </w:r>
    </w:p>
    <w:p>
      <w:pPr>
        <w:pBdr>
          <w:top w:val="single" w:color="0F4F73" w:sz="24"/>
          <w:bottom w:val="single" w:color="0F4F73" w:sz="24"/>
        </w:pBdr>
        <w:shd w:fill="D6E4F0" w:val="solid"/>
        <w:spacing w:after="240" w:before="0" w:line="320"/>
        <w:jc w:val="center"/>
      </w:pPr>
      <w:r>
        <w:rPr>
          <w:rFonts w:ascii="游ゴシック" w:cs="游ゴシック" w:eastAsia="游ゴシック" w:hAnsi="游ゴシック"/>
          <w:b/>
          <w:bCs/>
          <w:i w:val="false"/>
          <w:iCs w:val="false"/>
          <w:color w:val="0F4F73"/>
          <w:sz w:val="32"/>
          <w:szCs w:val="32"/>
        </w:rPr>
        <w:t xml:space="preserve">介護保険サービス見込量と保険料</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章では、第10期計画期間（令和9〜11年度）の介護保険サービス見込量と、それに基づく介護保険料の試算枠組みを示します。具体的な数値は、町からの提供データ、国民健康保険団体連合会の給付実績、国の通知を踏まえ、第3回策定委員会（令和9年1月）で協議のうえ確定します。策定委員会は3回構成であり、第3回で答申の内容を確定する予定です。</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本章は介護保険法第117条第2項第2号「各年度における種類ごとの介護給付等対象サービスの量の見込み」に対応する計画の核心部分である。</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7-1　サービス見込量の推計</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推計の基本ロジック</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サービス見込量は、以下の基本ロジックに基づき算定します。</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6"/>
          <w:szCs w:val="26"/>
        </w:rPr>
        <w:t xml:space="preserve">見込量 = 将来人口 × 認定率 × 利用率 × 1人当たり利用量</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この基本式に、川崎町固有の補正要素（住所地特例による町外施設利用、認知症基本法対応の地域支援事業拡充、ユニバーサルサポーター制度による軽度認定者の重度化抑制等）を組み込みます。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の基本式は、地域包括ケア「見える化」システムの推計ツールが用いる自然体推計と同じ考え方です。自然体推計では、要介護認定率、施設・居住系サービスの利用率、在宅サービスの利用率、1人1月あたりの利用回（日）数について、直近年度の実績が将来も継続すると仮定して推計します。施設サービス（介護老人福祉施設・地域密着型介護老人福祉施設・介護老人保健施設）については、計画期間中は直近年度の利用者数が一定であると仮定し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9期計画の見込量が3か年でほぼ同一の値となっているのは、この自然体推計の仕様によるものであり、町が施策による調整（施策反映）を加えていないためです。第10期では、自然体推計を出発点としたうえで、介護予防の強化、在宅サービスの利用勧奨、サービス提供体制の制約といった要素をどこまで見込量に反映させるかが論点となり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要素</w:t>
            </w:r>
          </w:p>
        </w:tc>
        <w:tc>
          <w:tcPr>
            <w:tcW w:type="pct" w:w="5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採用データ・方針</w:t>
            </w:r>
          </w:p>
        </w:tc>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根拠・出典</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国立社会保障・人口問題研究所「日本の地域別将来推計人口（令和5年推計）」を基本。住民基本台帳との突合で補正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社人研R5推計</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②認定率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性別・年齢階級別（5歳階級）認定率を、直近5年間（R3〜R7）の実績推移から算定。後期高齢者の急増局面を反映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町保険者データ</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国保連データから、サービス種類別の利用率（認定者中の利用者割合）を算定。直近年度を基本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国保連・町実績</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④1人当たり
　利用量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実績データから月平均利用量（訪問介護＝時間、通所介護＝回数、施設＝日数等）を算定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町給付実績</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社人研データから令和9〜11年度の年齢階級別人口（前期高齢者・75〜85歳未満・85歳以上）を推計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認定者推計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年齢階級別認定率を将来人口に乗じて、要介護度別認定者数を推計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利用率算定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国保連データから、サービス種類別の利用率（認定者中の利用者割合）を算定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見込量推計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認定者推計 × 利用率 × 1人当たり利用量 により、年度別・サービス種類別の見込量を算定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アンケート補正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一般高齢者ニーズ調査・認定者調査の結果から、潜在ニーズ・利用意向を反映して見込量を補正</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見える化登録・比較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見える化システムに登録し、仙南圏域（柴田町・大河原町・村田町・丸森町・蔵王町・七ヶ宿町）と比較確認</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年度別サービス見込量（数値枠）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第10期計画期間中（令和9〜11年度）の年度別・サービス種類別見込量は、上記6ステップを経て下表のとおり算定します。本素案Ver.1.9では枠のみ提示し、Ver.2.0で確定値を記載します。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3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サービス種類</w:t>
            </w:r>
          </w:p>
        </w:tc>
        <w:tc>
          <w:tcPr>
            <w:tcW w:type="pct" w:w="1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単位</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1%"/>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訪問看護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通所介護（デイサービス）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通所リハビリ（デイケア）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短期入所（ショートステイ）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居宅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福祉用具・住宅改修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件/月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認知症対応型共同生活介護（GH）</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地域
密着型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小規模多機能型居宅介護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介護老人福祉施設（特養・町外含む）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68人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介護老人保健施設（老健・町外含む）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66人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介護療養型・介護医療院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95959"/>
                <w:sz w:val="18"/>
                <w:szCs w:val="18"/>
              </w:rPr>
              <w:t xml:space="preserve">0</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出典：R3実績：年報データ2021／R9〜R11見込み：Ver.2.0で確定（社人研推計＋6ステップ算定）</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年度別・サービス種類別見込量の確定値は、町担当課提供データ、国保連データ、アンケート結果、国通知の反映を経て、Ver.2.0で記載します。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町外施設の建設計画・受入余地等の情報収集を行い、川崎町民の施設利用継続を担保する</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地域支援事業（介護予防・日常生活支援総合事業、包括的支援事業、任意事業）の量の見込みも、サービス見込量と同様に第10期計画期間中の年度別実施量を算定します。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事業区分</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R9〜R11見込み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介護予防・生活支援サービス事業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約565万円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【町確認・アンケート結果反映後確定】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一般介護予防事業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約195万円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【ユニバーサルサポーター制度との整合確認】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包括的支援・任意事業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【包括センター体制強化を反映】</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合計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約3,207万円</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【国の上限額管理基準を踏まえ確定】</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出典：R3実績：年報データ2021・様式4／R9〜R11見込み：Ver.2.0で確定</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7-2　介護給付費の見込み</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給付費算定の構造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介護給付費の見込みは、サービス見込量に各種単価・加算率を乗じて算定します。標準給付費見込額は、保険料算定の出発点となる極めて重要な数値です。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サービス見込量 × サービス種類別単価 × 加算率 で算定。3年間の累計値</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自己負担月額の上限超過分の払戻し（R3実績 約2,682万円）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高額医療合算介護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医療＋介護の合算自己負担上限超過分（R3実績 約240万円）</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 特定入所者介護費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低所得施設入所者の食費・居住費補足給付（R3実績 約5,247万円）</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保険給付費総額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R3実績：約10.4億円。第10期で給付費上方圧力（後期高齢者+10.9%）が見込まれる</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総合事業・包括的支援事業・任意事業（R3実績 約3,207万円）</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第10期 給付費見込み（試算枠）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R9</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R10</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標準給付費（サービス種類別）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約9.6億円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　高額・特定入所者等を加算</w:t>
            </w:r>
          </w:p>
        </w:tc>
        <w:tc>
          <w:tcPr>
            <w:shd w:fill="F2F2F2"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+約0.8億円</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保険給付費総額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約10.4億円</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E2EFDA"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shd w:fill="E2EFDA"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約0.32億円</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【試算】</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3年累計</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【3年累計】</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出典：R3実績：年報データ2021／R9-R11試算：Ver.2.0で確定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と認知症基本法対応に伴う認知症施策の拡充により、給付費の上方圧力が見込まれます。一方で、令和6年度から令和7年度にかけて標準給付費が1,093,253千円から1,085,203千円へ0.7％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おり、供給可能量の分析を踏まえた推計が必要です。</w:t>
      </w:r>
    </w:p>
    <w:p>
      <w:pPr>
        <w:pBdr>
          <w:bottom w:val="single" w:color="0F4F73" w:sz="18"/>
        </w:pBdr>
        <w:spacing w:after="160" w:before="360" w:line="320"/>
      </w:pPr>
      <w:r>
        <w:rPr>
          <w:rFonts w:ascii="游ゴシック" w:cs="游ゴシック" w:eastAsia="游ゴシック" w:hAnsi="游ゴシック"/>
          <w:b/>
          <w:bCs/>
          <w:i w:val="false"/>
          <w:iCs w:val="false"/>
          <w:color w:val="0F4F73"/>
          <w:sz w:val="26"/>
          <w:szCs w:val="26"/>
        </w:rPr>
        <w:t>7-3　介護保険料の試算（8ステップ・3パターン）</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期</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計画期間</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月額基準額</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対前期</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R3〜R5年度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年報2021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R6〜R8年度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+120円
(+1.9%)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第10期
（本計画）</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R9〜R11年度</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【3パターン試算】</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【委員会協議】</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本計画</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w:t>
      </w:r>
    </w:p>
    <w:p>
      <w:pPr>
        <w:spacing w:after="60" w:before="120"/>
        <w:jc w:val="center"/>
      </w:pPr>
      <w: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bCs/>
          <w:i w:val="false"/>
          <w:iCs w:val="false"/>
          <w:color w:val="1F3864"/>
          <w:sz w:val="18"/>
          <w:szCs w:val="18"/>
        </w:rPr>
        <w:t xml:space="preserve">図7-1　介護保険料月額基準額の推移と第10期試算3パターン（試算は仮置き）</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では、後期高齢者の増加に伴う認定者・給付費増、認知症基本法対応に伴う認知症施策の拡充、地域支援事業の充実等により、給付費の上方圧力が見込まれます。一方で、介護給付費準備基金の取崩し、収納率の維持（令和7年度の総合収納率96.70％）等により、保険料水準の抑制が可能となります。なお、所得段階の13段階化は令和6年度に実施済みであり、第10期の抑制要因にはあたりません。最終的な保険料基準額は、第3回策定委員会（令和9年1月）での協議を経て決定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保険料算定の8ステップ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Step</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作業名</w:t>
            </w:r>
          </w:p>
        </w:tc>
        <w:tc>
          <w:tcPr>
            <w:tcW w:type="pct" w:w="7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標準給付費見込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7-1で確定したサービス見込量×単価×加算率で、3年間の標準給付費を算出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（標準給付費＋地域支援事業費）× 第1号被保険者負担割合23%（第10期）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後期高齢者割合・所得段階別人口で交付率算定（R3実績 約5,912万円・約6.1%）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第9期で借入があれば償還金計上（川崎町では従来借入なし）</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6</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介護給付費準備基金
取崩額</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保険料抑制のため取崩額を設定。R8.6に確定の基金残高を踏まえ3パターン設定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Step1〜6を反映した3年間の収納必要額</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8</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保険料基準額算定</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収納必要額 ÷ 予定収納率 ÷ 加重平均調整率 ÷ 第1号被保険者数 で月額基準額決定</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保険料基準額の算定式</w:t>
      </w:r>
    </w:p>
    <w:p>
      <w:pPr>
        <w:pBdr>
          <w:top w:val="single" w:color="0F4F73" w:sz="12"/>
          <w:bottom w:val="single" w:color="0F4F73" w:sz="12"/>
        </w:pBdr>
        <w:shd w:fill="D6E4F0" w:val="solid"/>
        <w:spacing w:after="200" w:before="200" w:line="360"/>
        <w:jc w:val="center"/>
      </w:pPr>
      <w:r>
        <w:rPr>
          <w:rFonts w:ascii="游ゴシック" w:cs="游ゴシック" w:eastAsia="游ゴシック" w:hAnsi="游ゴシック"/>
          <w:b/>
          <w:bCs/>
          <w:i w:val="false"/>
          <w:iCs w:val="false"/>
          <w:color w:val="0F4F73"/>
          <w:sz w:val="22"/>
          <w:szCs w:val="22"/>
        </w:rPr>
        <w:t xml:space="preserve">月額基準額 = 収納必要額 ÷ 予定収納率 ÷ 加重平均調整率 ÷ 第1号被保険者数 ÷ 12</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ここで、「収納必要額」は3年間の合計値です。「所得段階別加入割合補正後被保険者数」は、所得段階別の被保険者数に各段階の基準額に対する割合（乗率）を乗じて合計した値で、第9期計画では3か年計9,875人としています。「予定収納率」は次節で詳述します。この算定式は、地域包括ケア「見える化」システムの推計ツールが用いる算式と同一で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6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R8年6月時点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【町確認・R8.6確定値】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R8年度末 基金残高（見込み）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【R8.3積立増減を踏まえ予測】</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 取崩額（3パターン）</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A：取崩なし／B：50%取崩／C：全額取崩</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基金温存（パターンA）は次期の保険料急騰リスクを抑制／全額取崩（パターンC）は次期の負担が増大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試算3パターン</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第10期の介護保険料は、介護給付費準備基金の取崩額を主な変動要因として、以下の3パターンを試算し、第3回策定委員会で協議のうえ確定します。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パターン</w:t>
            </w:r>
          </w:p>
        </w:tc>
        <w:tc>
          <w:tcPr>
            <w:tcW w:type="pct" w:w="20%"/>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基金取崩方針</w:t>
            </w:r>
          </w:p>
        </w:tc>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特徴</w:t>
            </w:r>
          </w:p>
        </w:tc>
        <w:tc>
          <w:tcPr>
            <w:tcW w:type="pct" w:w="1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月額イメージ</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第11期影響</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基金取崩なし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【試算】最高水準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548235"/>
                <w:sz w:val="18"/>
                <w:szCs w:val="18"/>
              </w:rPr>
              <w:t xml:space="preserve">緩和</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基金50%取崩</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給付費増を一部相殺し、現実的な保険料水準を維持。次期負担との均衡を取る</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【試算】中位水準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中位</w:t>
            </w:r>
          </w:p>
        </w:tc>
      </w:tr>
      <w:tr>
        <w:tc>
          <w:tcPr>
            <w:shd w:fill="E2EFDA"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基金全額取崩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【試算】最低水準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C00000"/>
                <w:sz w:val="18"/>
                <w:szCs w:val="18"/>
              </w:rPr>
              <w:t xml:space="preserve">増大</w:t>
            </w:r>
          </w:p>
        </w:tc>
      </w:tr>
    </w:tbl>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現行9段階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第10期検討（13段階）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段階数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9段階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13段階（推奨）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最低段階の保険料率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0.50（第1段階）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0.455〜（軽減強化）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最高段階の保険料率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1.70（第9段階・320万円以上）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2.40（第13段階・720万円以上）</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川崎町への影響</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非課税層979人（30.1%）の負担</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非課税層の負担軽減＋高所得層への応分負担</w:t>
            </w:r>
          </w:p>
        </w:tc>
      </w:tr>
    </w:tbl>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予定収納率の設定</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予定収納率は、過去5年間の保険料収納率の平均値を採用します。川崎町の収納率は高水準で推移しており、第10期の予定収納率は98%以上を見込みます。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項目</w:t>
            </w:r>
          </w:p>
        </w:tc>
        <w:tc>
          <w:tcPr>
            <w:tcW w:type="pct" w:w="2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R3実績</w:t>
            </w:r>
          </w:p>
        </w:tc>
        <w:tc>
          <w:tcPr>
            <w:tcW w:type="pct" w:w="42%"/>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過去5年平均（見込み）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特別徴収（年金天引）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100.0%（安定）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87.3%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【町確認・経年推移把握必要】</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現年度分計</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548235"/>
                <w:sz w:val="18"/>
                <w:szCs w:val="18"/>
              </w:rPr>
              <w:t xml:space="preserve">99.0%</w:t>
            </w:r>
          </w:p>
        </w:tc>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【町確認】</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総合計（滞納繰越分含む）</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96.3%</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【町確認・第10期予定収納率の根拠】</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出典：R3実績：年報データ2021・様式3／過去5年平均：町確認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自治体・区分</w:t>
            </w:r>
          </w:p>
        </w:tc>
        <w:tc>
          <w:tcPr>
            <w:tcW w:type="pct" w:w="2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第9期保険料
（月額基準額）</w:t>
            </w:r>
          </w:p>
        </w:tc>
        <w:tc>
          <w:tcPr>
            <w:tcW w:type="pct" w:w="3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出典・備考</w:t>
            </w:r>
          </w:p>
        </w:tc>
      </w:tr>
      <w:tr>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6,500円</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仙南圏域近隣（柴田町・大河原町・村田町等）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【見える化システム要確認】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見える化システム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宮城県平均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【県集計値要確認】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宮城県高齢者保健福祉計画</w:t>
            </w:r>
          </w:p>
        </w:tc>
      </w:tr>
      <w:tr>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全国平均</w:t>
            </w:r>
          </w:p>
        </w:tc>
        <w:tc>
          <w:tcPr>
            <w:shd w:fill="DAE3F3"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6,225円</w:t>
            </w:r>
          </w:p>
        </w:tc>
        <w:tc>
          <w:tcPr>
            <w:shd w:fill="DAE3F3"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厚労省 第9期保険料状況</w:t>
            </w:r>
          </w:p>
        </w:tc>
      </w:tr>
    </w:tbl>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県内順位は宮城県公表の市町村別保険料一覧（第9期）により確認済みです。第10期の比較値は、各市町村の計画確定後に更新します。</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13段階区分の所得段階別保険料（試算枠）</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13段階区分への移行に伴う所得段階別保険料（月額・年額）の試算枠を以下に示します。確定値は第3回策定委員会で協議します。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36%"/>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区分</w:t>
            </w:r>
          </w:p>
        </w:tc>
        <w:tc>
          <w:tcPr>
            <w:tcW w:type="pct" w:w="1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保険料率</w:t>
            </w:r>
          </w:p>
        </w:tc>
        <w:tc>
          <w:tcPr>
            <w:tcW w:type="pct" w:w="18%"/>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月額(試算)</w:t>
            </w:r>
          </w:p>
        </w:tc>
        <w:tc>
          <w:tcPr>
            <w:tcW w:type="pct" w:w="24%"/>
            <w:shd w:fill="0F4F7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人数(R3)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生活保護・世帯非課税(年金80万以下)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0.455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431人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世帯非課税(年金80〜120万)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世帯非課税(年金120万超)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548235"/>
                <w:sz w:val="18"/>
                <w:szCs w:val="18"/>
              </w:rPr>
              <w:t xml:space="preserve">0.690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275人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本人非課税・世帯課税(80万以下)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0.900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466人</w:t>
            </w:r>
          </w:p>
        </w:tc>
      </w:tr>
      <w:tr>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第5</w:t>
            </w:r>
          </w:p>
        </w:tc>
        <w:tc>
          <w:tcPr>
            <w:shd w:fill="FCE4D6"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本人非課税・世帯課税(基準)</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1.000</w:t>
            </w:r>
          </w:p>
        </w:tc>
        <w:tc>
          <w:tcPr>
            <w:shd w:fill="FCE4D6"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【基準額】</w:t>
            </w:r>
          </w:p>
        </w:tc>
        <w:tc>
          <w:tcPr>
            <w:shd w:fill="FCE4D6" w:val="solid"/>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bCs/>
                <w:i w:val="false"/>
                <w:iCs w:val="false"/>
                <w:color w:val="000000"/>
                <w:sz w:val="18"/>
                <w:szCs w:val="18"/>
              </w:rPr>
              <w:t xml:space="preserve">697人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本人課税(合計所得120万未満)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449人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本人課税(120〜210万未満)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385人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本人課税(210〜320万未満)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173人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第9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本人課税(320〜420万未満)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1.700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b w:val="false"/>
                <w:bCs w:val="false"/>
                <w:i w:val="false"/>
                <w:iCs w:val="false"/>
                <w:color w:val="000000"/>
                <w:sz w:val="18"/>
                <w:szCs w:val="18"/>
              </w:rPr>
              <w:t xml:space="preserve">106人(現9段階)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本人課税(420〜520万未満)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1.900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本人課税(520〜620万未満)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本人課税(620〜720万未満)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2.300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第13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ED7D31"/>
                <w:sz w:val="18"/>
                <w:szCs w:val="18"/>
              </w:rPr>
              <w:t xml:space="preserve">本人課税(720万以上)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ED7D31"/>
                <w:sz w:val="18"/>
                <w:szCs w:val="18"/>
              </w:rPr>
              <w:t xml:space="preserve">2.400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【試算】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ED7D31"/>
                <w:sz w:val="18"/>
                <w:szCs w:val="18"/>
              </w:rPr>
              <w:t xml:space="preserve">【新設・町確認】</w:t>
            </w:r>
          </w:p>
        </w:tc>
      </w:tr>
    </w:tbl>
    <w:p>
      <w:pPr>
        <w:spacing w:after="80" w:before="30" w:line="260"/>
        <w:jc w:val="right"/>
      </w:pPr>
      <w:r>
        <w:rPr>
          <w:rFonts w:ascii="游ゴシック" w:cs="游ゴシック" w:eastAsia="游ゴシック" w:hAnsi="游ゴシック"/>
          <w:b w:val="false"/>
          <w:bCs w:val="false"/>
          <w:i/>
          <w:iCs/>
          <w:color w:val="595959"/>
          <w:sz w:val="16"/>
          <w:szCs w:val="16"/>
        </w:rPr>
        <w:t xml:space="preserve">出典：保険料率は国の標準率（参考値）。第10段階以降の人数は町からの提供データで確認</w:t>
      </w:r>
    </w:p>
    <w:p>
      <w:pPr>
        <w:pBdr>
          <w:bottom w:val="single" w:color="0F4F73" w:sz="4"/>
        </w:pBdr>
        <w:shd w:fill="D6E4F0" w:val="solid"/>
        <w:spacing w:after="120" w:before="220" w:line="300"/>
      </w:pPr>
      <w:r>
        <w:rPr>
          <w:rFonts w:ascii="游ゴシック" w:cs="游ゴシック" w:eastAsia="游ゴシック" w:hAnsi="游ゴシック"/>
          <w:b/>
          <w:bCs/>
          <w:i w:val="false"/>
          <w:iCs w:val="false"/>
          <w:color w:val="0F4F73"/>
          <w:sz w:val="22"/>
          <w:szCs w:val="22"/>
        </w:rPr>
        <w:t xml:space="preserve">　▌ 確定スケジュール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⑤　</w:t>
      </w:r>
      <w:r>
        <w:rPr>
          <w:rFonts w:ascii="游ゴシック" w:cs="游ゴシック" w:eastAsia="游ゴシック" w:hAnsi="游ゴシック"/>
          <w:b w:val="false"/>
          <w:bCs w:val="false"/>
          <w:i w:val="false"/>
          <w:iCs w:val="false"/>
          <w:color w:val="000000"/>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⑥　</w:t>
      </w:r>
      <w:r>
        <w:rPr>
          <w:rFonts w:ascii="游ゴシック" w:cs="游ゴシック" w:eastAsia="游ゴシック" w:hAnsi="游ゴシック"/>
          <w:b w:val="false"/>
          <w:bCs w:val="false"/>
          <w:i w:val="false"/>
          <w:iCs w:val="false"/>
          <w:color w:val="000000"/>
          <w:sz w:val="20"/>
          <w:szCs w:val="20"/>
        </w:rPr>
        <w:t xml:space="preserve">令和9年1〜2月：パブリックコメントの実施</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⑦　</w:t>
      </w:r>
      <w:r>
        <w:rPr>
          <w:rFonts w:ascii="游ゴシック" w:cs="游ゴシック" w:eastAsia="游ゴシック" w:hAnsi="游ゴシック"/>
          <w:b w:val="false"/>
          <w:bCs w:val="false"/>
          <w:i w:val="false"/>
          <w:iCs w:val="false"/>
          <w:color w:val="000000"/>
          <w:sz w:val="20"/>
          <w:szCs w:val="20"/>
        </w:rPr>
        <w:t xml:space="preserve">令和9年3月：3月議会へ条例改正案を上程、可決後に公表</w:t>
      </w:r>
    </w:p>
    <w:p>
      <w:pPr>
        <w:pBdr>
          <w:top w:val="single" w:color="ED7D31" w:sz="12"/>
          <w:bottom w:val="single" w:color="ED7D31" w:sz="12"/>
        </w:pBdr>
        <w:shd w:fill="FFF2CC" w:val="solid"/>
        <w:spacing w:after="80" w:before="80" w:line="280"/>
        <w:ind w:left="288"/>
      </w:pPr>
      <w:r>
        <w:rPr>
          <w:rFonts w:ascii="游ゴシック" w:cs="游ゴシック" w:eastAsia="游ゴシック" w:hAnsi="游ゴシック"/>
          <w:b/>
          <w:bCs/>
          <w:i/>
          <w:iCs/>
          <w:color w:val="ED7D31"/>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b w:val="false"/>
          <w:bCs w:val="false"/>
          <w:i w:val="false"/>
          <w:iCs w:val="false"/>
          <w:color w:val="000000"/>
          <w:sz w:val="20"/>
          <w:szCs w:val="20"/>
        </w:rPr>
        <w:t xml:space="preserve"/>
      </w:r>
    </w:p>
    <w:p>
      <w:pPr>
        <w:spacing w:after="200" w:before="1200" w:line="320"/>
        <w:jc w:val="center"/>
      </w:pPr>
      <w:r>
        <w:rPr>
          <w:rFonts w:ascii="游ゴシック" w:cs="游ゴシック" w:eastAsia="游ゴシック" w:hAnsi="游ゴシック"/>
          <w:b/>
          <w:bCs/>
          <w:i w:val="false"/>
          <w:iCs w:val="false"/>
          <w:color w:val="404040"/>
          <w:sz w:val="48"/>
          <w:szCs w:val="48"/>
        </w:rPr>
        <w:t xml:space="preserve">第 8 章</w:t>
      </w:r>
    </w:p>
    <w:p>
      <w:pPr>
        <w:pBdr>
          <w:top w:val="single" w:color="404040" w:sz="24"/>
          <w:bottom w:val="single" w:color="404040" w:sz="24"/>
        </w:pBdr>
        <w:shd w:fill="E2E8F0" w:val="solid"/>
        <w:spacing w:after="240" w:before="0" w:line="320"/>
        <w:jc w:val="center"/>
      </w:pPr>
      <w:r>
        <w:rPr>
          <w:rFonts w:ascii="游ゴシック" w:cs="游ゴシック" w:eastAsia="游ゴシック" w:hAnsi="游ゴシック"/>
          <w:b/>
          <w:bCs/>
          <w:i w:val="false"/>
          <w:iCs w:val="false"/>
          <w:color w:val="404040"/>
          <w:sz w:val="32"/>
          <w:szCs w:val="32"/>
        </w:rPr>
        <w:t xml:space="preserve">計画の推進体制と評価</w:t>
      </w:r>
    </w:p>
    <w:p>
      <w:pPr>
        <w:spacing w:after="200" w:before="20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本計画を着実に推進し、その効果を最大化するため、推進体制・進行管理・評価の仕組みを以下のとおり整備します。</w:t>
      </w:r>
    </w:p>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8-1　推進体制</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町の体制</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組織</w:t>
            </w:r>
          </w:p>
        </w:tc>
        <w:tc>
          <w:tcPr>
            <w:tcW w:type="pct" w:w="7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役割</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計画の総合的推進、進行管理、介護保険事業の運営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移動支援（町民バス・デマンドバス）の所管との連携</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総合相談、介護予防ケアマネジメント、地域ケア会議の運営</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町内医療拠点としての在宅医療・介護連携、認知症診療</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地域包括支援センター運営、福祉移送サービス、ユニバーサルサポーター制度</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地域見守り、ふれあいネットワーク活動、各種サポーター活動</w:t>
            </w:r>
          </w:p>
        </w:tc>
      </w:tr>
      <w:tr>
        <w:tc>
          <w:tcPr>
            <w:shd w:fill="F2F2F2" w:val="solid"/>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夜間救急・専門医療における広域連携</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8-2　進行管理（PDCAサイクル）</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段階</w:t>
            </w:r>
          </w:p>
        </w:tc>
        <w:tc>
          <w:tcPr>
            <w:tcW w:type="pct" w:w="56%"/>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実施内容</w:t>
            </w:r>
          </w:p>
        </w:tc>
        <w:tc>
          <w:tcPr>
            <w:tcW w:type="pct" w:w="30%"/>
            <w:shd w:fill="404040"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時期</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計画期間開始前</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計画期間中（通年）</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毎年度末</w:t>
            </w:r>
          </w:p>
        </w:tc>
      </w:tr>
      <w:tr>
        <w:tc>
          <w:tcPr>
            <w:shd w:fill="F2F2F2"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次年度予算編成時</w:t>
            </w:r>
          </w:p>
        </w:tc>
      </w:tr>
    </w:tbl>
    <w:p>
      <w:pPr>
        <w:pBdr>
          <w:bottom w:val="single" w:color="404040" w:sz="18"/>
        </w:pBdr>
        <w:spacing w:after="160" w:before="360" w:line="320"/>
      </w:pPr>
      <w:r>
        <w:rPr>
          <w:rFonts w:ascii="游ゴシック" w:cs="游ゴシック" w:eastAsia="游ゴシック" w:hAnsi="游ゴシック"/>
          <w:b/>
          <w:bCs/>
          <w:i w:val="false"/>
          <w:iCs w:val="false"/>
          <w:color w:val="404040"/>
          <w:sz w:val="26"/>
          <w:szCs w:val="26"/>
        </w:rPr>
        <w:t>8-3　計画の評価と見直し</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評価の仕組み</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中間評価：計画期間の中間年（R10年度）に、策定委員会または同等の組織で中間評価</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計画期間終了時評価：第10期計画終了時（R11年度）に、第11期計画策定の基礎資料として総括評価</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計画の見直し</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pBdr>
          <w:bottom w:val="single" w:color="404040" w:sz="4"/>
        </w:pBdr>
        <w:shd w:fill="E2E8F0" w:val="solid"/>
        <w:spacing w:after="120" w:before="220" w:line="300"/>
      </w:pPr>
      <w:r>
        <w:rPr>
          <w:rFonts w:ascii="游ゴシック" w:cs="游ゴシック" w:eastAsia="游ゴシック" w:hAnsi="游ゴシック"/>
          <w:b/>
          <w:bCs/>
          <w:i w:val="false"/>
          <w:iCs w:val="false"/>
          <w:color w:val="404040"/>
          <w:sz w:val="22"/>
          <w:szCs w:val="22"/>
        </w:rPr>
        <w:t xml:space="preserve">　▌ 情報公開と住民参画</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pBdr>
        <w:spacing w:after="240" w:before="480" w:line="360"/>
        <w:jc w:val="center"/>
      </w:pPr>
      <w:r>
        <w:rPr>
          <w:rFonts w:ascii="游ゴシック" w:cs="游ゴシック" w:eastAsia="游ゴシック" w:hAnsi="游ゴシック"/>
          <w:b/>
          <w:bCs/>
          <w:i w:val="false"/>
          <w:iCs w:val="false"/>
          <w:color w:val="1F3864"/>
          <w:sz w:val="22"/>
          <w:szCs w:val="22"/>
        </w:rPr>
        <w:t xml:space="preserve">─ 本素案 Ver.1.9 結 ─</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50" w:line="320"/>
        <w:jc w:val="center"/>
      </w:pPr>
      <w:r>
        <w:rPr>
          <w:rFonts w:ascii="游ゴシック" w:cs="游ゴシック" w:eastAsia="游ゴシック" w:hAnsi="游ゴシック"/>
          <w:b w:val="false"/>
          <w:bCs w:val="false"/>
          <w:i/>
          <w:iCs/>
          <w:color w:val="595959"/>
          <w:sz w:val="18"/>
          <w:szCs w:val="18"/>
        </w:rPr>
        <w:t xml:space="preserve">本素案Ver.1.9は、第9期の事業実績（町ご記入分）、関連施策評価調査の結果、事業所ヒアリングの結果、及び国通知の確認を経て、Ver.2.0として更新します。Ver.2.0は令和8年11月の第2回策定委員会で計画骨子（素案）として審議いただく予定で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