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計画書素案（令和8年10月時点）</w:t>
      </w:r>
    </w:p>
    <w:p>
      <w:pPr>
        <w:spacing w:after="80" w:before="80"/>
        <w:jc w:val="center"/>
      </w:pPr>
      <w:r>
        <w:rPr>
          <w:rFonts w:ascii="游ゴシック" w:cs="游ゴシック" w:eastAsia="游ゴシック" w:hAnsi="游ゴシック"/>
          <w:b w:val="false"/>
          <w:bCs w:val="false"/>
          <w:i/>
          <w:iCs/>
          <w:sz w:val="18"/>
          <w:szCs w:val="18"/>
        </w:rPr>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lineRule="exact"/>
      </w:pPr>
      <w:r>
        <w:rPr>
          <w:rFonts w:ascii="游ゴシック" w:cs="游ゴシック" w:eastAsia="游ゴシック" w:hAnsi="游ゴシック"/>
          <w:b w:val="false"/>
          <w:bCs w:val="false"/>
          <w:i w:val="false"/>
          <w:iCs w:val="false"/>
          <w:sz w:val="20"/>
          <w:szCs w:val="20"/>
        </w:rPr>
        <w:t xml:space="preserve"/>
      </w:r>
    </w:p>
    <w:p>
      <w:pPr>
        <w:spacing w:after="360" w:before="480" w:line="320" w:lineRule="atLeast"/>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lineRule="exact"/>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lineRule="exact"/>
      </w:pPr>
      <w:r>
        <w:rPr>
          <w:rFonts w:ascii="游ゴシック" w:cs="游ゴシック" w:eastAsia="游ゴシック" w:hAnsi="游ゴシック"/>
          <w:b w:val="false"/>
          <w:bCs w:val="false"/>
          <w:i w:val="false"/>
          <w:iCs w:val="false"/>
          <w:sz w:val="20"/>
          <w:szCs w:val="20"/>
        </w:rPr>
        <w:t xml:space="preserve"/>
      </w:r>
    </w:p>
    <w:p>
      <w:pPr>
        <w:spacing w:after="480" w:before="240" w:line="320" w:lineRule="atLeast"/>
        <w:jc w:val="center"/>
      </w:pPr>
      <w:r>
        <w:rPr>
          <w:rFonts w:ascii="游ゴシック" w:cs="游ゴシック" w:eastAsia="游ゴシック" w:hAnsi="游ゴシック"/>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9</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17</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31</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35</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42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50</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55</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60</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64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64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69</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74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81</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81</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20"/>
                <w:szCs w:val="20"/>
              </w:rPr>
              <w:t xml:space="preserve">115</w:t>
            </w:r>
          </w:p>
        </w:tc>
      </w:tr>
    </w:tbl>
    <w:p>
      <w:pPr>
        <w:spacing w:after="80" w:before="80" w:line="280" w:lineRule="exact"/>
        <w:ind w:left="288"/>
      </w:pPr>
      <w:r>
        <w:rPr>
          <w:rFonts w:ascii="游ゴシック" w:cs="游ゴシック" w:eastAsia="游ゴシック" w:hAnsi="游ゴシック"/>
          <w:i/>
          <w:iCs/>
          <w:sz w:val="20"/>
          <w:szCs w:val="20"/>
        </w:rPr>
        <w:t>⚠ 頁番号は、現在の組版によるものです。図表の差替え・加筆により頁の割付けが動いた場合は、目次の頁番号も併せて更新します。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lineRule="exact"/>
        <w:jc w:val="left"/>
      </w:pPr>
      <w:r>
        <w:rPr>
          <w:rFonts w:ascii="游ゴシック" w:cs="游ゴシック" w:eastAsia="游ゴシック" w:hAnsi="游ゴシック"/>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游ゴシック" w:cs="游ゴシック" w:eastAsia="游ゴシック" w:hAnsi="游ゴシック"/>
          <w:b w:val="false"/>
          <w:bCs w:val="false"/>
          <w:i w:val="false"/>
          <w:iCs w:val="false"/>
          <w:sz w:val="20"/>
          <w:szCs w:val="20"/>
        </w:rPr>
        <w:t xml:space="preserve"/>
      </w:r>
    </w:p>
    <w:p>
      <w:pPr>
        <w:spacing w:after="0" w:before="240" w:line="320" w:lineRule="atLeast"/>
      </w:pPr>
      <w:r>
        <w:rPr>
          <w:rFonts w:ascii="游ゴシック" w:cs="游ゴシック" w:eastAsia="游ゴシック" w:hAnsi="游ゴシック"/>
          <w:b w:val="1"/>
          <w:bCs w:val="1"/>
          <w:i w:val="false"/>
          <w:iCs w:val="false"/>
          <w:sz w:val="28"/>
          <w:szCs w:val="28"/>
        </w:rPr>
        <w:t xml:space="preserve">第 1 章</w:t>
      </w:r>
    </w:p>
    <w:p>
      <w:pPr>
        <w:spacing w:after="140" w:before="0" w:line="320" w:lineRule="exact"/>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lineRule="exact"/>
      </w:pPr>
      <w:r>
        <w:rPr>
          <w:rFonts w:ascii="游ゴシック" w:cs="游ゴシック" w:eastAsia="游ゴシック" w:hAnsi="游ゴシック"/>
          <w:b w:val="1"/>
          <w:bCs w:val="1"/>
          <w:i w:val="false"/>
          <w:iCs w:val="false"/>
          <w:sz w:val="26"/>
          <w:szCs w:val="26"/>
        </w:rPr>
        <w:t>1-1　計画策定の背景と目的</w:t>
      </w:r>
    </w:p>
    <w:p>
      <w:pPr>
        <w:spacing w:after="80" w:before="180" w:line="300" w:lineRule="exact"/>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游ゴシック" w:cs="游ゴシック" w:eastAsia="游ゴシック" w:hAnsi="游ゴシック"/>
          <w:b w:val="1"/>
          <w:bCs w:val="1"/>
          <w:i w:val="false"/>
          <w:iCs w:val="false"/>
          <w:sz w:val="26"/>
          <w:szCs w:val="26"/>
        </w:rPr>
        <w:t>1-2　計画の位置付け</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lineRule="exact"/>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lineRule="exact"/>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lineRule="exact"/>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lineRule="exact"/>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lineRule="exact"/>
      </w:pPr>
      <w:r>
        <w:rPr>
          <w:rFonts w:ascii="游ゴシック" w:cs="游ゴシック" w:eastAsia="游ゴシック" w:hAnsi="游ゴシック"/>
          <w:b w:val="1"/>
          <w:bCs w:val="1"/>
          <w:i w:val="false"/>
          <w:iCs w:val="false"/>
          <w:sz w:val="26"/>
          <w:szCs w:val="26"/>
        </w:rPr>
        <w:t>1-3　計画の期間</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bl>
    <w:p>
      <w:pPr>
        <w:spacing w:after="100" w:before="200" w:line="320" w:lineRule="exact"/>
      </w:pPr>
      <w:r>
        <w:rPr>
          <w:rFonts w:ascii="游ゴシック" w:cs="游ゴシック" w:eastAsia="游ゴシック" w:hAnsi="游ゴシック"/>
          <w:b w:val="1"/>
          <w:bCs w:val="1"/>
          <w:i w:val="false"/>
          <w:iCs w:val="false"/>
          <w:sz w:val="26"/>
          <w:szCs w:val="26"/>
        </w:rPr>
        <w:t>1-4　計画策定の体制</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策定委員会</w:t>
      </w:r>
    </w:p>
    <w:p>
      <w:pPr>
        <w:spacing w:after="80" w:before="50" w:line="320" w:lineRule="exact"/>
        <w:ind w:firstLine="200"/>
        <w:jc w:val="left"/>
      </w:pPr>
      <w:r>
        <w:rPr>
          <w:rFonts w:ascii="游ゴシック" w:cs="游ゴシック" w:eastAsia="游ゴシック" w:hAnsi="游ゴシック"/>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lineRule="exact"/>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100" w:before="200" w:line="320" w:lineRule="exact"/>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lineRule="exact"/>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lineRule="exact"/>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277"/>
        <w:gridCol w:w="771"/>
        <w:gridCol w:w="5012"/>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対応</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一部</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対応済</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2-1・2-2（図2-1〜図2-3）</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未対応</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一部</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一部</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一部</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一部</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 延べ利用日数による稼働率は把握しておらず、時点の入所率で代える。⚠ 短期入所の稼働はいずれの資料にもない（確認事項No.159）</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一部</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一部</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3-2・5-4・3-3・8-4。地域支援事業のデータの受領待ち</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未対応</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一部</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lineRule="exact"/>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lineRule="exact"/>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lineRule="exact"/>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lineRule="exact"/>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lineRule="exact"/>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lineRule="exact"/>
      </w:pPr>
      <w:r>
        <w:rPr>
          <w:rFonts w:ascii="游ゴシック" w:cs="游ゴシック" w:eastAsia="游ゴシック" w:hAnsi="游ゴシック"/>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游ゴシック" w:cs="游ゴシック" w:eastAsia="游ゴシック" w:hAnsi="游ゴシック"/>
          <w:b w:val="1"/>
          <w:bCs w:val="1"/>
          <w:i w:val="false"/>
          <w:iCs w:val="false"/>
          <w:sz w:val="28"/>
          <w:szCs w:val="28"/>
        </w:rPr>
        <w:t xml:space="preserve">第 2 章</w:t>
      </w:r>
    </w:p>
    <w:p>
      <w:pPr>
        <w:spacing w:after="140" w:before="0" w:line="320" w:lineRule="exact"/>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lineRule="exact"/>
      </w:pPr>
      <w:r>
        <w:rPr>
          <w:rFonts w:ascii="游ゴシック" w:cs="游ゴシック" w:eastAsia="游ゴシック" w:hAnsi="游ゴシック"/>
          <w:b w:val="1"/>
          <w:bCs w:val="1"/>
          <w:i w:val="false"/>
          <w:iCs w:val="false"/>
          <w:sz w:val="26"/>
          <w:szCs w:val="26"/>
        </w:rPr>
        <w:t>2-1　人口・世帯の現状</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△29.4%</w:t>
            </w:r>
          </w:p>
        </w:tc>
      </w:tr>
    </w:tbl>
    <w:p>
      <w:pPr>
        <w:spacing w:after="80" w:before="30" w:line="260" w:lineRule="exact"/>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lineRule="exact"/>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lineRule="exact"/>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lineRule="exact"/>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游ゴシック" w:cs="游ゴシック" w:eastAsia="游ゴシック" w:hAnsi="游ゴシック"/>
          <w:b w:val="1"/>
          <w:bCs w:val="1"/>
          <w:i w:val="false"/>
          <w:iCs w:val="false"/>
          <w:sz w:val="21"/>
          <w:szCs w:val="21"/>
        </w:rPr>
        <w:t xml:space="preserve">　▌ 世帯の状況</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游ゴシック" w:cs="游ゴシック" w:eastAsia="游ゴシック" w:hAnsi="游ゴシック"/>
          <w:b w:val="1"/>
          <w:bCs w:val="1"/>
          <w:i w:val="false"/>
          <w:iCs w:val="false"/>
          <w:sz w:val="26"/>
          <w:szCs w:val="26"/>
        </w:rPr>
        <w:t>2-2　高齢者の状況</w:t>
      </w:r>
    </w:p>
    <w:p>
      <w:pPr>
        <w:spacing w:after="80" w:before="180" w:line="300" w:lineRule="exact"/>
      </w:pPr>
      <w:r>
        <w:rPr>
          <w:rFonts w:ascii="游ゴシック" w:cs="游ゴシック" w:eastAsia="游ゴシック" w:hAnsi="游ゴシック"/>
          <w:b w:val="1"/>
          <w:bCs w:val="1"/>
          <w:i w:val="false"/>
          <w:iCs w:val="false"/>
          <w:sz w:val="21"/>
          <w:szCs w:val="21"/>
        </w:rPr>
        <w:t xml:space="preserve">　▌ 高齢化率</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bl>
    <w:p>
      <w:pPr>
        <w:spacing w:after="80" w:before="30" w:line="260" w:lineRule="exact"/>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lineRule="exact"/>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688人</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見込み</w:t>
            </w:r>
          </w:p>
        </w:tc>
      </w:tr>
    </w:tbl>
    <w:p>
      <w:pPr>
        <w:spacing w:after="80" w:before="30" w:line="260" w:lineRule="exact"/>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450.0人</w:t>
            </w:r>
          </w:p>
        </w:tc>
      </w:tr>
    </w:tbl>
    <w:p>
      <w:pPr>
        <w:spacing w:after="80" w:before="30" w:line="260" w:lineRule="exact"/>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lineRule="exact"/>
      </w:pPr>
      <w:r>
        <w:rPr>
          <w:rFonts w:ascii="游ゴシック" w:cs="游ゴシック" w:eastAsia="游ゴシック" w:hAnsi="游ゴシック"/>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100.0%</w:t>
            </w:r>
          </w:p>
        </w:tc>
      </w:tr>
    </w:tbl>
    <w:p>
      <w:pPr>
        <w:spacing w:after="80" w:before="30" w:line="260" w:lineRule="exact"/>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r>
    </w:tbl>
    <w:p>
      <w:pPr>
        <w:spacing w:after="80" w:before="30" w:line="260" w:lineRule="exact"/>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lineRule="exact"/>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lineRule="exact"/>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lineRule="exact"/>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lineRule="exact"/>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lineRule="exact"/>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医療資源</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游ゴシック" w:cs="游ゴシック" w:eastAsia="游ゴシック" w:hAnsi="游ゴシック"/>
          <w:b w:val="1"/>
          <w:bCs w:val="1"/>
          <w:i w:val="false"/>
          <w:iCs w:val="false"/>
          <w:sz w:val="21"/>
          <w:szCs w:val="21"/>
        </w:rPr>
        <w:t xml:space="preserve">　▌ 移動支援</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lineRule="exact"/>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独自施策</w:t>
      </w:r>
    </w:p>
    <w:p>
      <w:pPr>
        <w:spacing w:after="30" w:before="30" w:line="300" w:lineRule="exact"/>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lineRule="exact"/>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lineRule="exact"/>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lineRule="exact"/>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lineRule="exact"/>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游ゴシック" w:cs="游ゴシック" w:eastAsia="游ゴシック" w:hAnsi="游ゴシック"/>
          <w:b w:val="1"/>
          <w:bCs w:val="1"/>
          <w:i w:val="false"/>
          <w:iCs w:val="false"/>
          <w:sz w:val="21"/>
          <w:szCs w:val="21"/>
        </w:rPr>
        <w:t>▌ 調査の概要</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【町確認】</w:t>
            </w:r>
          </w:p>
        </w:tc>
      </w:tr>
    </w:tbl>
    <w:p>
      <w:pPr>
        <w:spacing w:after="80" w:before="180" w:line="300" w:lineRule="exact"/>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lineRule="exact"/>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n=556</w:t>
            </w:r>
          </w:p>
        </w:tc>
      </w:tr>
    </w:tbl>
    <w:p>
      <w:pPr>
        <w:spacing w:after="80" w:before="180" w:line="300" w:lineRule="exact"/>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lineRule="exact"/>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lineRule="exact"/>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lineRule="exact"/>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lineRule="exact"/>
      </w:pPr>
      <w:r>
        <w:rPr>
          <w:rFonts w:ascii="游ゴシック" w:cs="游ゴシック" w:eastAsia="游ゴシック" w:hAnsi="游ゴシック"/>
          <w:b w:val="1"/>
          <w:bCs w:val="1"/>
          <w:i w:val="false"/>
          <w:iCs w:val="false"/>
          <w:sz w:val="21"/>
          <w:szCs w:val="21"/>
        </w:rPr>
        <w:t>▌ 相談・支援体制（ニーズ調査）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lineRule="exact"/>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lineRule="exact"/>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町域の特性</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lineRule="exact"/>
        <w:ind w:firstLine="200"/>
        <w:jc w:val="left"/>
      </w:pPr>
      <w:r>
        <w:rPr>
          <w:rFonts w:ascii="游ゴシック" w:cs="游ゴシック" w:eastAsia="游ゴシック" w:hAnsi="游ゴシック"/>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いずれにも項目のないもの（入所前の居所・経営の状況・短期入所の稼働）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延べ利用日数による稼働率ではありません。⚠ 短期入所の稼働はいずれの資料にもなく、把握していません</w:t>
            </w:r>
          </w:p>
        </w:tc>
        <w:tc>
          <w:tcPr>
            <w:tcW w:type="dxa" w:w="13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w:t>
            </w:r>
          </w:p>
        </w:tc>
        <w:tc>
          <w:tcPr>
            <w:tcW w:type="dxa" w:w="13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No.12</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游ゴシック" w:cs="游ゴシック" w:eastAsia="游ゴシック" w:hAnsi="游ゴシック"/>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lineRule="exact"/>
        <w:ind w:left="288"/>
      </w:pPr>
      <w:r>
        <w:rPr>
          <w:rFonts w:ascii="游ゴシック" w:cs="游ゴシック" w:eastAsia="游ゴシック" w:hAnsi="游ゴシック"/>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0" w:before="240" w:line="320" w:lineRule="atLeast"/>
      </w:pPr>
      <w:r>
        <w:rPr>
          <w:rFonts w:ascii="游ゴシック" w:cs="游ゴシック" w:eastAsia="游ゴシック" w:hAnsi="游ゴシック"/>
          <w:b w:val="1"/>
          <w:bCs w:val="1"/>
          <w:i w:val="false"/>
          <w:iCs w:val="false"/>
          <w:sz w:val="28"/>
          <w:szCs w:val="28"/>
        </w:rPr>
        <w:t xml:space="preserve">第 3 章</w:t>
      </w:r>
    </w:p>
    <w:p>
      <w:pPr>
        <w:spacing w:after="140" w:before="0" w:line="320" w:lineRule="exact"/>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lineRule="exact"/>
      </w:pPr>
      <w:r>
        <w:rPr>
          <w:rFonts w:ascii="游ゴシック" w:cs="游ゴシック" w:eastAsia="游ゴシック" w:hAnsi="游ゴシック"/>
          <w:b w:val="1"/>
          <w:bCs w:val="1"/>
          <w:i w:val="false"/>
          <w:iCs w:val="false"/>
          <w:sz w:val="26"/>
          <w:szCs w:val="26"/>
        </w:rPr>
        <w:t>3-1　第9期計画の体系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lineRule="exact"/>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lineRule="exact"/>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lineRule="exact"/>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lineRule="exact"/>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lineRule="exact"/>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lineRule="exact"/>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lineRule="exact"/>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lineRule="exact"/>
      </w:pPr>
      <w:r>
        <w:rPr>
          <w:rFonts w:ascii="游ゴシック" w:cs="游ゴシック" w:eastAsia="游ゴシック" w:hAnsi="游ゴシック"/>
          <w:b w:val="1"/>
          <w:bCs w:val="1"/>
          <w:i w:val="false"/>
          <w:iCs w:val="false"/>
          <w:sz w:val="26"/>
          <w:szCs w:val="26"/>
        </w:rPr>
        <w:t>3-2　主要施策の取組実績</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bl>
    <w:p>
      <w:pPr>
        <w:spacing w:after="80" w:before="30" w:line="260" w:lineRule="exact"/>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bl>
    <w:p>
      <w:pPr>
        <w:spacing w:after="80" w:before="30" w:line="260" w:lineRule="exact"/>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lineRule="exact"/>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lineRule="exact"/>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游ゴシック" w:cs="游ゴシック" w:eastAsia="游ゴシック" w:hAnsi="游ゴシック"/>
          <w:b w:val="1"/>
          <w:bCs w:val="1"/>
          <w:i w:val="false"/>
          <w:iCs w:val="false"/>
          <w:sz w:val="26"/>
          <w:szCs w:val="26"/>
        </w:rPr>
        <w:t>3-3　評価指標の達成状況</w:t>
      </w:r>
    </w:p>
    <w:p>
      <w:pPr>
        <w:spacing w:after="80" w:before="80" w:line="280" w:lineRule="exact"/>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游ゴシック" w:cs="游ゴシック" w:eastAsia="游ゴシック" w:hAnsi="游ゴシック"/>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lineRule="exact"/>
        <w:ind w:firstLine="200"/>
        <w:jc w:val="left"/>
      </w:pPr>
      <w:r>
        <w:rPr>
          <w:rFonts w:ascii="游ゴシック" w:cs="游ゴシック" w:eastAsia="游ゴシック" w:hAnsi="游ゴシック"/>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游ゴシック" w:cs="游ゴシック" w:eastAsia="游ゴシック" w:hAnsi="游ゴシック"/>
          <w:b w:val="1"/>
          <w:bCs w:val="1"/>
          <w:i w:val="false"/>
          <w:iCs w:val="false"/>
          <w:sz w:val="21"/>
          <w:szCs w:val="21"/>
        </w:rPr>
        <w:t xml:space="preserve">　▌ 失点の内訳</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11.1（16位）</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＋30.5点</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485.0点</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47位</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游ゴシック" w:cs="游ゴシック" w:eastAsia="游ゴシック" w:hAnsi="游ゴシック"/>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游ゴシック" w:cs="游ゴシック" w:eastAsia="游ゴシック" w:hAnsi="游ゴシック"/>
          <w:b w:val="1"/>
          <w:bCs w:val="1"/>
          <w:i w:val="false"/>
          <w:iCs w:val="false"/>
          <w:sz w:val="26"/>
          <w:szCs w:val="26"/>
        </w:rPr>
        <w:t>3-4　第10期に向けた課題</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0" w:before="240" w:line="320" w:lineRule="atLeast"/>
      </w:pPr>
      <w:r>
        <w:rPr>
          <w:rFonts w:ascii="游ゴシック" w:cs="游ゴシック" w:eastAsia="游ゴシック" w:hAnsi="游ゴシック"/>
          <w:b w:val="1"/>
          <w:bCs w:val="1"/>
          <w:i w:val="false"/>
          <w:iCs w:val="false"/>
          <w:sz w:val="28"/>
          <w:szCs w:val="28"/>
        </w:rPr>
        <w:t xml:space="preserve">第 4 章</w:t>
      </w:r>
    </w:p>
    <w:p>
      <w:pPr>
        <w:spacing w:after="140" w:before="0" w:line="320" w:lineRule="exact"/>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lineRule="exact"/>
      </w:pPr>
      <w:r>
        <w:rPr>
          <w:rFonts w:ascii="游ゴシック" w:cs="游ゴシック" w:eastAsia="游ゴシック" w:hAnsi="游ゴシック"/>
          <w:b w:val="1"/>
          <w:bCs w:val="1"/>
          <w:i w:val="false"/>
          <w:iCs w:val="false"/>
          <w:sz w:val="26"/>
          <w:szCs w:val="26"/>
        </w:rPr>
        <w:t>4-1　基本理念（第9期踏襲）</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lineRule="exact"/>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lineRule="exact"/>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lineRule="exact"/>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游ゴシック" w:cs="游ゴシック" w:eastAsia="游ゴシック" w:hAnsi="游ゴシック"/>
          <w:b w:val="1"/>
          <w:bCs w:val="1"/>
          <w:i w:val="false"/>
          <w:iCs w:val="false"/>
          <w:sz w:val="26"/>
          <w:szCs w:val="26"/>
        </w:rPr>
        <w:t>4-4　計画の体系図</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tcW w:type="dxa" w:w="9638"/>
          </w:tcPr>
          <w:p>
            <w:pPr>
              <w:spacing w:after="80" w:before="80"/>
              <w:jc w:val="left"/>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游ゴシック" w:cs="游ゴシック" w:eastAsia="游ゴシック" w:hAnsi="游ゴシック"/>
                <w:i/>
                <w:iCs/>
                <w:sz w:val="17"/>
                <w:szCs w:val="17"/>
              </w:rPr>
              <w:t xml:space="preserve">↓</w:t>
            </w:r>
          </w:p>
        </w:tc>
      </w:tr>
      <w:tr>
        <w:tc>
          <w:tcPr>
            <w:tcW w:type="dxa" w:w="9638"/>
          </w:tcPr>
          <w:p>
            <w:pPr>
              <w:spacing w:after="80" w:before="80"/>
              <w:jc w:val="left"/>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0" w:before="240" w:line="320" w:lineRule="atLeast"/>
      </w:pPr>
      <w:r>
        <w:rPr>
          <w:rFonts w:ascii="游ゴシック" w:cs="游ゴシック" w:eastAsia="游ゴシック" w:hAnsi="游ゴシック"/>
          <w:b w:val="1"/>
          <w:bCs w:val="1"/>
          <w:i w:val="false"/>
          <w:iCs w:val="false"/>
          <w:sz w:val="28"/>
          <w:szCs w:val="28"/>
        </w:rPr>
        <w:t xml:space="preserve">第 5 章</w:t>
      </w:r>
    </w:p>
    <w:p>
      <w:pPr>
        <w:spacing w:after="140" w:before="0" w:line="320" w:lineRule="exact"/>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lineRule="exact"/>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lineRule="exact"/>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（２）生活習慣病対策の充実</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（３）住民との協働による健康づくりの推進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（４）健康相談の充実</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（５）健康づくり団体などの育成・支援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（１）連携による医療内容の充実</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保健福祉課・国保川崎病院</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（２）かかりつけ医制度の普及</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保健福祉課・国保川崎病院</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（３）町外医療機関との広域連携</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保健福祉課・国保川崎病院</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（１）高齢者の感染症予防と発生時の対応</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（１）特定健康診査</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（２）特定保健指導</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（３）各種がん検診の実施</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（１）各種検診の受診勧奨</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（２）生活習慣病重症化予防事業の推進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（３）集団健康教育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（４）総合健康相談</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（５）こころの健康づくりの推進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3470"/>
        <w:gridCol w:w="3277"/>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第10期での内容</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（２）生活習慣病対策の充実</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（３）町外医療機関との広域連携</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（５）こころの健康づくりの推進</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lineRule="exact"/>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lineRule="exact"/>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（１）歩道のバリアフリー化の推進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建設担当課【町確認】</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建設担当課【町確認】</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（３）高齢者が生活しやすい住居環境の整備</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（１）避難行動要支援者マニュアルの作成</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総務担当課【町確認】・保健福祉課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（２）地域の防火・防災対策の推進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総務担当課【町確認】</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（１）防犯対策の充実</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町民生活課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（２）交通安全対策の推進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町民生活課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（３）消費者被害の防止と救済</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町民生活課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3470"/>
        <w:gridCol w:w="3277"/>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第10期での内容</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（１）避難行動要支援者マニュアルの作成</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lineRule="exact"/>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lineRule="exact"/>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社会福祉協議会・NPO法人</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（２）デマンド型乗合タクシーの運行【重点】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地域振興課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（３）町民バスの運行【重点】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地域振興課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（４）会食サービス事業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（５）緊急通報システム事業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（６）老人クラブ助成事業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（７）敬老会開催事業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（８）敬老祝金支給事業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（１）社会福祉協議会との連携</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（２）高齢者見守り体制の整備</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保健福祉課・社会福祉協議会・民生委員</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（３）ふれあいネットワーク活動の推進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社会福祉協議会・民生委員</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（４）地域コミュニティ活動への支援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地域振興課・社会福祉協議会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（５）ボランティア活動の振興</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（１）家族介護教室の開催</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（３）レスパイト（短期入所）の利用支援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地域包括支援センター・事業所</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（４）介護離職の防止・仕事と介護の両立支援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保健福祉課・企画課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（５）支援が届いていない世帯の把握</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地域包括支援センター・民生委員</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（６）ヤングケアラー・ダブルケアへの対応</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3470"/>
        <w:gridCol w:w="3277"/>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第10期での内容</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（１）家族介護教室の開催</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同上。介護者の孤立防止</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（３）レスパイト（短期入所）の利用支援</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（４）介護離職の防止・仕事と介護の両立支援</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（５）支援が届いていない世帯の把握</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（６）ヤングケアラー・ダブルケアへの対応</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（４）高齢者と若い世代との交流の推進</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（１）老人クラブ活動の支援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（２）生涯学習の推進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教育委員会【町確認】</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保健福祉課・教育委員会【町確認】</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（４）高齢者と若い世代との交流の推進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地域振興課・社会福祉協議会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（５）地域交流活動の推進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地域振興課・社会福祉協議会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（６）シルバー人材センターの活用</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lineRule="exact"/>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lineRule="exact"/>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（３）介護予防ケアマネジメント</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（４）生活支援サービス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（５）高額介護予防サービス相当事業等</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（１）介護予防把握事業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（４）一般介護予防事業評価事業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（５）地域リハビリテーション活動支援事業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（７）ユニバーサルサポーター制度の推進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（８）介護予防ポイント事業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（９）アウトリーチによる参加勧奨</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（１）地域包括支援センター運営事業【重点】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（２）包括的相談体制の整備</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（３）総合相談支援・権利擁護事業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（５）自立支援型地域ケア会議の充実</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（６）在宅医療・介護連携推進事業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保健福祉課・国保川崎病院</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（７）高齢者虐待の早期発見、早期解決</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（８）重層的支援体制整備事業との連動</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（４）生活支援・介護予防サービスの推進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（１）介護給付費等適正化事業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（２）成年後見制度利用支援事業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（３）介護用品（紙おむつ等）の支給</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（４）配食サービス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3470"/>
        <w:gridCol w:w="3277"/>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第10期での内容</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（４）一般介護予防事業評価事業</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（１）地域包括支援センター運営事業【重点】</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（２）包括的相談体制の整備</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（５）自立支援型地域ケア会議の充実</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（６）在宅医療・介護連携推進事業</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（８）重層的支援体制整備事業との連動</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（１）介護給付費等適正化事業</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lineRule="exact"/>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（１）訪問介護（ホームヘルプサービス）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（２）訪問入浴介護・介護予防訪問入浴介護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（３）訪問看護・介護予防訪問看護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（６）通所介護（デイサービス）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（11）福祉用具貸与・介護予防福祉用具貸与</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（13）住宅改修・介護予防住宅改修</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（14）居宅介護支援・介護予防支援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（１）定期巡回・随時対応型訪問介護看護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（２）夜間対応型訪問介護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（６）地域密着型特定施設入居者生活介護</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（９）地域密着型通所介護（小規模デイ）</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（１）介護老人福祉施設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（２）介護老人保健施設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（３）介護医療院</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lineRule="exact"/>
        <w:ind w:firstLine="200"/>
        <w:jc w:val="left"/>
      </w:pPr>
      <w:r>
        <w:rPr>
          <w:rFonts w:ascii="游ゴシック" w:cs="游ゴシック" w:eastAsia="游ゴシック" w:hAnsi="游ゴシック"/>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0" w:before="240" w:line="320" w:lineRule="atLeast"/>
      </w:pPr>
      <w:r>
        <w:rPr>
          <w:rFonts w:ascii="游ゴシック" w:cs="游ゴシック" w:eastAsia="游ゴシック" w:hAnsi="游ゴシック"/>
          <w:b w:val="1"/>
          <w:bCs w:val="1"/>
          <w:i w:val="false"/>
          <w:iCs w:val="false"/>
          <w:sz w:val="28"/>
          <w:szCs w:val="28"/>
        </w:rPr>
        <w:t xml:space="preserve">第 6 章</w:t>
      </w:r>
    </w:p>
    <w:p>
      <w:pPr>
        <w:spacing w:after="140" w:before="0" w:line="320" w:lineRule="exact"/>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lineRule="exact"/>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本町の認知症の人の数</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474人</w:t>
            </w:r>
          </w:p>
        </w:tc>
      </w:tr>
    </w:tbl>
    <w:p>
      <w:pPr>
        <w:spacing w:after="80" w:before="30" w:line="260" w:lineRule="exact"/>
        <w:jc w:val="right"/>
      </w:pPr>
      <w:r>
        <w:rPr>
          <w:rFonts w:ascii="游ゴシック" w:cs="游ゴシック" w:eastAsia="游ゴシック" w:hAnsi="游ゴシック"/>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lineRule="exact"/>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游ゴシック" w:cs="游ゴシック" w:eastAsia="游ゴシック" w:hAnsi="游ゴシック"/>
          <w:b w:val="1"/>
          <w:bCs w:val="1"/>
          <w:i w:val="false"/>
          <w:iCs w:val="false"/>
          <w:sz w:val="26"/>
          <w:szCs w:val="26"/>
        </w:rPr>
        <w:t>6-3　重点施策とKPI</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KPIの3層構造</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100" w:before="200" w:line="320" w:lineRule="exact"/>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（２）計画の公表</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（３）実施状況の評価と結果の公表</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（４）少なくとも5年ごとの検討</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（５）他の計画との調和</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（１）認知症初期集中支援推進事業【重点】</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地域包括支援センター・国保川崎病院</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（２）もの忘れ相談の充実</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保健福祉課・国保川崎病院</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（４）難聴高齢者の早期発見・早期介入</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保健福祉課・国保川崎病院</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（１）認知症地域支援推進員の配置</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（３）認知症カフェ（喫茶みかん）の運営支援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（４）認知症の人と家族の相談支援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（６）認知症高齢者見守り体制の整備</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保健福祉課・社会福祉協議会・民生委員</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（７）移動のための交通手段の確保</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地域振興課・社会福祉協議会・NPO法人</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（８）交通の安全の確保</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町民生活課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（１）認知症サポーター養成講座の開催</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（３）チームオレンジの整備・活動支援</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保健福祉課・教育委員会【町確認】</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（５）認知症の人と家族を支える人材の育成</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（１）認知症本人ミーティングの開催</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保健福祉課・企画課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（１）成年後見制度の利用促進</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（２）日常生活自立支援事業の活用</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社会福祉協議会</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（３）意思決定支援研修の実施</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（４）消費者被害の防止の啓発</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町民生活課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（１）国の研究成果の活用と普及</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（２）意見聴取の結果の施策への反映</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482"/>
        <w:gridCol w:w="1349"/>
        <w:gridCol w:w="3855"/>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48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（２）認知症月間（9月1日〜30日）の行事の奨励</w:t>
            </w:r>
          </w:p>
        </w:tc>
        <w:tc>
          <w:tcPr>
            <w:tcW w:type="dxa" w:w="48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c>
          <w:tcPr>
            <w:tcW w:type="dxa" w:w="3855"/>
          </w:tcPr>
          <w:p>
            <w:pPr>
              <w:spacing w:after="40" w:before="40" w:line="260" w:lineRule="exact"/>
              <w:jc w:val="left"/>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3470"/>
        <w:gridCol w:w="3277"/>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第10期での内容</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（２）計画の公表</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第9期計画では行っていなかった</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（３）実施状況の評価と結果の公表</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（４）少なくとも5年ごとの検討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（５）他の計画との調和</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（１）認知症初期集中支援推進事業【重点】</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（１）認知症サポーター養成講座の開催</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（３）チームオレンジの整備・活動支援</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（１）認知症本人ミーティングの開催</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（２）日常生活自立支援事業の活用</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（３）意思決定支援研修の実施</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（１）国の研究成果の活用と普及</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（２）意見聴取の結果の施策への反映</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（２）認知症月間（9月1日〜30日）の行事の奨励</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游ゴシック" w:cs="游ゴシック" w:eastAsia="游ゴシック" w:hAnsi="游ゴシック"/>
          <w:b w:val="1"/>
          <w:bCs w:val="1"/>
          <w:i w:val="false"/>
          <w:iCs w:val="false"/>
          <w:sz w:val="28"/>
          <w:szCs w:val="28"/>
        </w:rPr>
        <w:t xml:space="preserve">第 7 章</w:t>
      </w:r>
    </w:p>
    <w:p>
      <w:pPr>
        <w:spacing w:after="140" w:before="0" w:line="320" w:lineRule="exact"/>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lineRule="exact"/>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lineRule="exact"/>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lineRule="exact"/>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lineRule="exact"/>
        <w:ind w:firstLine="200"/>
        <w:jc w:val="left"/>
      </w:pPr>
      <w:r>
        <w:rPr>
          <w:rFonts w:ascii="游ゴシック" w:cs="游ゴシック" w:eastAsia="游ゴシック" w:hAnsi="游ゴシック"/>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を踏まえると、供給の制約による可能性が高いと考えられ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游ゴシック" w:cs="游ゴシック" w:eastAsia="游ゴシック" w:hAnsi="游ゴシック"/>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lineRule="exact"/>
        <w:ind w:left="288"/>
      </w:pPr>
      <w:r>
        <w:rPr>
          <w:rFonts w:ascii="游ゴシック" w:cs="游ゴシック" w:eastAsia="游ゴシック" w:hAnsi="游ゴシック"/>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游ゴシック" w:cs="游ゴシック" w:eastAsia="游ゴシック" w:hAnsi="游ゴシック"/>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游ゴシック" w:cs="游ゴシック" w:eastAsia="游ゴシック" w:hAnsi="游ゴシック"/>
          <w:i w:val="false"/>
          <w:iCs w:val="false"/>
          <w:sz w:val="20"/>
          <w:szCs w:val="20"/>
        </w:rPr>
      </w:r>
    </w:p>
    <w:p>
      <w:pPr>
        <w:spacing w:after="40" w:before="40" w:line="300" w:lineRule="exact"/>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lineRule="exact"/>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lineRule="exact"/>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游ゴシック" w:cs="游ゴシック" w:eastAsia="游ゴシック" w:hAnsi="游ゴシック"/>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lineRule="exact"/>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游ゴシック" w:cs="游ゴシック" w:eastAsia="游ゴシック" w:hAnsi="游ゴシック"/>
          <w:i w:val="false"/>
          <w:iCs w:val="false"/>
          <w:sz w:val="20"/>
          <w:szCs w:val="20"/>
        </w:rPr>
        <w:t>①　年1回の公表情報の定点把握（職種別の従業者数と常勤換算、前年度の採用者数及び退職者数、入所率、待機者数）。⚠ 経営の状況は公表の項目にないため、把握の対象としません</w:t>
      </w:r>
      <w:r>
        <w:rPr>
          <w:rFonts w:ascii="游ゴシック" w:cs="游ゴシック" w:eastAsia="游ゴシック" w:hAnsi="游ゴシック"/>
          <w:i w:val="false"/>
          <w:iCs w:val="false"/>
          <w:sz w:val="20"/>
          <w:szCs w:val="20"/>
        </w:rPr>
      </w:r>
    </w:p>
    <w:p>
      <w:pPr>
        <w:spacing w:after="40" w:before="40" w:line="300" w:lineRule="exact"/>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lineRule="exact"/>
        <w:ind w:firstLine="200"/>
        <w:jc w:val="left"/>
      </w:pPr>
      <w:r>
        <w:rPr>
          <w:rFonts w:ascii="游ゴシック" w:cs="游ゴシック" w:eastAsia="游ゴシック" w:hAnsi="游ゴシック"/>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lineRule="exact"/>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0" w:before="240" w:line="320" w:lineRule="atLeast"/>
      </w:pPr>
      <w:r>
        <w:rPr>
          <w:rFonts w:ascii="游ゴシック" w:cs="游ゴシック" w:eastAsia="游ゴシック" w:hAnsi="游ゴシック"/>
          <w:b w:val="1"/>
          <w:bCs w:val="1"/>
          <w:i w:val="false"/>
          <w:iCs w:val="false"/>
          <w:sz w:val="28"/>
          <w:szCs w:val="28"/>
        </w:rPr>
        <w:t xml:space="preserve">第 8 章</w:t>
      </w:r>
    </w:p>
    <w:p>
      <w:pPr>
        <w:spacing w:after="140" w:before="0" w:line="320" w:lineRule="exact"/>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3470"/>
        <w:gridCol w:w="3277"/>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第10期での内容</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（１）研修・指導・苦情対応・ケアプラン点検</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（１）介護人材の確保・育成</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（１）目標と指標の設定・管理</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（１）乖離の把握と公表</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（１）住所地特例該当者の把握</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lineRule="exact"/>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lineRule="exact"/>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lineRule="exact"/>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lineRule="exact"/>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0" w:before="240" w:line="320" w:lineRule="atLeast"/>
      </w:pPr>
      <w:r>
        <w:rPr>
          <w:rFonts w:ascii="游ゴシック" w:cs="游ゴシック" w:eastAsia="游ゴシック" w:hAnsi="游ゴシック"/>
          <w:b w:val="1"/>
          <w:bCs w:val="1"/>
          <w:i w:val="false"/>
          <w:iCs w:val="false"/>
          <w:sz w:val="28"/>
          <w:szCs w:val="28"/>
        </w:rPr>
        <w:t xml:space="preserve">第 9 章</w:t>
      </w:r>
    </w:p>
    <w:p>
      <w:pPr>
        <w:spacing w:after="140" w:before="0" w:line="320" w:lineRule="exact"/>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lineRule="exact"/>
        <w:ind w:firstLine="200"/>
        <w:jc w:val="left"/>
      </w:pPr>
      <w:r>
        <w:rPr>
          <w:rFonts w:ascii="游ゴシック" w:cs="游ゴシック" w:eastAsia="游ゴシック" w:hAnsi="游ゴシック"/>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lineRule="exact"/>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lineRule="exact"/>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236.9</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70.7</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964"/>
        <w:gridCol w:w="771"/>
        <w:gridCol w:w="964"/>
        <w:gridCol w:w="964"/>
        <w:gridCol w:w="964"/>
        <w:gridCol w:w="964"/>
        <w:gridCol w:w="867"/>
        <w:gridCol w:w="867"/>
      </w:tblGrid>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508</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0.5</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474</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回（日）数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10.3</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96,805</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29.7</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118,970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32.9</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1,007</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0.3</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964"/>
        <w:gridCol w:w="771"/>
        <w:gridCol w:w="964"/>
        <w:gridCol w:w="964"/>
        <w:gridCol w:w="964"/>
        <w:gridCol w:w="964"/>
        <w:gridCol w:w="867"/>
        <w:gridCol w:w="867"/>
      </w:tblGrid>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288,034</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83.8</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318,292</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81.3</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利用者数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0.0</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No.29</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lineRule="exact"/>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lineRule="exact"/>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定員、入所率とその推移、待機者数、退所理由。⚠ 延べ利用日数による稼働率・短期入所の稼働・入所前の居所は公表資料にない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介護サービス情報公表システム（職種別の従業者数・常勤換算・前年度の採用者数及び退職者数）。受入不可・休廃止の意向は地域ケア会議等の既存の場で聴く（確認事項No.50）</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lineRule="exact"/>
      </w:pPr>
      <w:r>
        <w:rPr>
          <w:rFonts w:ascii="游ゴシック" w:cs="游ゴシック" w:eastAsia="游ゴシック" w:hAnsi="游ゴシック"/>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lineRule="exact"/>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2事業所・定員計27人（18人・9人）（介護サービス情報公表システム）</w:t>
            </w:r>
          </w:p>
          <w:p>
            <w:pPr>
              <w:jc w:val="left"/>
            </w:pPr>
            <w:r>
              <w:rPr>
                <w:rFonts w:ascii="游ゴシック" w:hAnsi="游ゴシック"/>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lineRule="exact"/>
        <w:ind w:left="288"/>
      </w:pPr>
      <w:r>
        <w:rPr>
          <w:rFonts w:ascii="游ゴシック" w:cs="游ゴシック" w:eastAsia="游ゴシック" w:hAnsi="游ゴシック"/>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w:r>
    </w:p>
    <w:p>
      <w:pPr>
        <w:spacing w:after="80" w:before="180" w:line="300" w:lineRule="exact"/>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lineRule="exact"/>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lineRule="exact"/>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bl>
    <w:p>
      <w:pPr>
        <w:spacing w:after="80" w:before="30" w:line="260" w:lineRule="exact"/>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游ゴシック" w:cs="游ゴシック" w:eastAsia="游ゴシック" w:hAnsi="游ゴシック"/>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lineRule="exact"/>
      </w:pPr>
      <w:r>
        <w:rPr>
          <w:rFonts w:ascii="游ゴシック" w:cs="游ゴシック" w:eastAsia="游ゴシック" w:hAnsi="游ゴシック"/>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游ゴシック" w:cs="游ゴシック" w:eastAsia="游ゴシック" w:hAnsi="游ゴシック"/>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lineRule="exact"/>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26"/>
        <w:gridCol w:w="659"/>
      </w:tblGrid>
      <w:tr>
        <w:tc>
          <w:tcPr>
            <w:tcW w:type="dxa" w:w="305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592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金額・方針</w:t>
            </w:r>
          </w:p>
        </w:tc>
        <w:tc>
          <w:tcPr>
            <w:tcW w:type="dxa" w:w="65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令和7年度末 基金残高（令和8年6月確定）</w:t>
            </w:r>
          </w:p>
        </w:tc>
        <w:tc>
          <w:tcPr>
            <w:tcW w:type="dxa" w:w="592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148,100千円</w:t>
            </w:r>
          </w:p>
        </w:tc>
        <w:tc>
          <w:tcPr>
            <w:tcW w:type="dxa" w:w="65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令和8年度末 基金残高（見込み）</w:t>
            </w:r>
          </w:p>
        </w:tc>
        <w:tc>
          <w:tcPr>
            <w:tcW w:type="dxa" w:w="592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W w:type="dxa" w:w="65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第10期 取崩額（3パターン）</w:t>
            </w:r>
          </w:p>
        </w:tc>
        <w:tc>
          <w:tcPr>
            <w:tcW w:type="dxa" w:w="592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W w:type="dxa" w:w="65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第11期以降への影響</w:t>
            </w:r>
          </w:p>
        </w:tc>
        <w:tc>
          <w:tcPr>
            <w:tcW w:type="dxa" w:w="5926"/>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W w:type="dxa" w:w="65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576件</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増大</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游ゴシック" w:cs="游ゴシック" w:eastAsia="游ゴシック" w:hAnsi="游ゴシック"/>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▲40円</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96.7%</w:t>
            </w:r>
          </w:p>
        </w:tc>
      </w:tr>
    </w:tbl>
    <w:p>
      <w:pPr>
        <w:spacing w:after="80" w:before="30" w:line="260" w:lineRule="exact"/>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lineRule="exact"/>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14,743円</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lineRule="exact"/>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lineRule="exact"/>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lineRule="exact"/>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lineRule="exact"/>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⑤　第3回策定委員会で保険料基準額を決定し、答申の内容を確定（開催時期は策定委員会においてお諮りのうえ定めます）</w:t>
      </w:r>
      <w:r>
        <w:rPr>
          <w:rFonts w:ascii="游ゴシック" w:cs="游ゴシック" w:eastAsia="游ゴシック" w:hAnsi="游ゴシック"/>
          <w:i w:val="false"/>
          <w:iCs w:val="false"/>
          <w:sz w:val="20"/>
          <w:szCs w:val="20"/>
        </w:rPr>
      </w:r>
    </w:p>
    <w:p>
      <w:pPr>
        <w:spacing w:after="40" w:before="40" w:line="300" w:lineRule="exact"/>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lineRule="exact"/>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lineRule="exact"/>
        <w:ind w:left="288"/>
      </w:pPr>
      <w:r>
        <w:rPr>
          <w:rFonts w:ascii="游ゴシック" w:cs="游ゴシック" w:eastAsia="游ゴシック" w:hAnsi="游ゴシック"/>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游ゴシック" w:cs="游ゴシック" w:eastAsia="游ゴシック" w:hAnsi="游ゴシック"/>
          <w:i w:val="false"/>
          <w:iCs w:val="false"/>
          <w:sz w:val="21"/>
          <w:szCs w:val="21"/>
        </w:rPr>
        <w:t xml:space="preserve"/>
      </w:r>
    </w:p>
    <w:p>
      <w:pPr>
        <w:spacing w:after="0" w:before="240" w:line="320" w:lineRule="atLeast"/>
      </w:pPr>
      <w:r>
        <w:rPr>
          <w:rFonts w:ascii="游ゴシック" w:cs="游ゴシック" w:eastAsia="游ゴシック" w:hAnsi="游ゴシック"/>
          <w:b w:val="1"/>
          <w:bCs w:val="1"/>
          <w:i w:val="false"/>
          <w:iCs w:val="false"/>
          <w:sz w:val="28"/>
          <w:szCs w:val="28"/>
        </w:rPr>
        <w:t xml:space="preserve">第 10 章</w:t>
      </w:r>
    </w:p>
    <w:p>
      <w:pPr>
        <w:spacing w:after="140" w:before="0" w:line="320" w:lineRule="exact"/>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10-1　推進体制</w:t>
      </w:r>
    </w:p>
    <w:p>
      <w:pPr>
        <w:spacing w:after="80" w:before="180" w:line="300" w:lineRule="exact"/>
      </w:pPr>
      <w:r>
        <w:rPr>
          <w:rFonts w:ascii="游ゴシック" w:cs="游ゴシック" w:eastAsia="游ゴシック" w:hAnsi="游ゴシック"/>
          <w:b w:val="1"/>
          <w:bCs w:val="1"/>
          <w:i w:val="false"/>
          <w:iCs w:val="false"/>
          <w:sz w:val="21"/>
          <w:szCs w:val="21"/>
        </w:rPr>
        <w:t xml:space="preserve">　▌ 町の体制</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lineRule="exact"/>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lineRule="exact"/>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lineRule="exact"/>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lineRule="exact"/>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lineRule="exact"/>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游ゴシック" w:cs="游ゴシック" w:eastAsia="游ゴシック" w:hAnsi="游ゴシック"/>
          <w:b w:val="1"/>
          <w:bCs w:val="1"/>
          <w:i w:val="false"/>
          <w:iCs w:val="false"/>
          <w:sz w:val="26"/>
          <w:szCs w:val="26"/>
        </w:rPr>
        <w:t xml:space="preserve">10-4　KPI管理表</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KPIの3階層</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游ゴシック" w:cs="游ゴシック" w:eastAsia="游ゴシック" w:hAnsi="游ゴシック"/>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lineRule="exact"/>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lineRule="exact"/>
        <w:ind w:firstLine="200"/>
        <w:jc w:val="left"/>
      </w:pPr>
      <w:r>
        <w:rPr>
          <w:rFonts w:ascii="游ゴシック" w:cs="游ゴシック" w:eastAsia="游ゴシック" w:hAnsi="游ゴシック"/>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lineRule="exact"/>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lineRule="exact"/>
        <w:jc w:val="center"/>
      </w:pPr>
      <w:r>
        <w:rPr>
          <w:rFonts w:ascii="游ゴシック" w:cs="游ゴシック" w:eastAsia="游ゴシック" w:hAnsi="游ゴシック"/>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游ゴシック" w:cs="游ゴシック" w:eastAsia="游ゴシック" w:hAnsi="游ゴシック"/>
          <w:i w:val="false"/>
          <w:iCs w:val="false"/>
          <w:sz w:val="20"/>
          <w:szCs w:val="20"/>
        </w:rPr>
        <w:t xml:space="preserve">図表番号一覧</w:t>
      </w:r>
    </w:p>
    <w:p>
      <w:pPr>
        <w:spacing w:after="80" w:before="180" w:line="300" w:lineRule="exact"/>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游ゴシック" w:cs="游ゴシック" w:eastAsia="游ゴシック" w:hAnsi="游ゴシック"/>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lineRule="exact"/>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川崎町高齢者保健福祉計画・第10期介護保険事業計画（素案）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