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Ver.2.5</w:t>
      </w:r>
    </w:p>
    <w:p>
      <w:pPr>
        <w:spacing w:after="80" w:before="80"/>
        <w:jc w:val="center"/>
      </w:pPr>
      <w:r>
        <w:rPr>
          <w:rFonts w:ascii="游ゴシック" w:cs="游ゴシック" w:eastAsia="游ゴシック" w:hAnsi="游ゴシック"/>
          <w:b w:val="false"/>
          <w:bCs w:val="false"/>
          <w:i/>
          <w:iCs/>
          <w:sz w:val="18"/>
          <w:szCs w:val="18"/>
        </w:rPr>
        <w:t xml:space="preserve">（書体統一版）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42"/>
        <w:gridCol w:w="216"/>
        <w:gridCol w:w="42"/>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1-1．計画策定の背景と目的</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1-2．計画の位置付け</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1-3．計画の期間</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1-4．計画策定の体制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1-5．介護保険制度改正の主な内容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1-6．日常生活圏域の設定</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2-1．人口・世帯の現状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2-2．高齢者の状況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2-3．要介護認定とサービス利用の状況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2-4．介護給付費の状況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2-5．高齢者を取り巻く地域資源</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2-7．サービス供給体制の状況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3-1．第9期計画の体系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3-2．主要施策の取組実績</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3-3．評価指標の達成状況</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3-4．第10期に向けた課題</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4-1．基本理念（第9期踏襲）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4-2．施策の体系（7つの柱）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4-3．計画の重点ポイント（4つの重点）</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4-4．計画の体系図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5-1．健康づくりの推進（柱1）</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5-2．高齢者が安心して暮らせるまちづくりの推進（柱2）</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5-3．地域生活を支援する取り組みの充実（柱3）</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5-4．地域支援事業の充実（柱4）</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5-5．介護給付・介護予防給付サービスの充実（柱6）</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6-1．認知症基本法と川崎町の対応方針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6-2．認知症施策の体系（8基本的施策）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59</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6-3．重点施策とKPI</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6-4．認知症施策の体系（6節8項28事業）</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64</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サービス提供体制と介護人材の確保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7-1．サービス提供体制の現状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70</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7-2．供給の制約とその影響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7-3．見込量確保のための方策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71</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7-4．介護人材の確保</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7-5．介護現場の生産性向上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72</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7-6．事業所との継続的な対話</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73</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地域マネジメントの推進</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8-1．介護サービスの質の向上</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8-2．介護給付の適正化</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75</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8-3．計画値と実績値の乖離のモニタリングと公表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8-4．評価結果の活用と公表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8-5．情報提供・相談体制の充実</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第9章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9-1．サービス見込量の推計</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78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9-2．介護給付費の見込み</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86</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9-3．介護保険料の算定（8ステップ・3パターン）</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第10章</w:t>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10-1．推進体制</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10-2．進行管理（PDCAサイクル）</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10-3．計画の評価と見直し</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97</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10-4．KPI管理表</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98</w:t>
            </w:r>
          </w:p>
        </w:tc>
      </w:tr>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dxa" w:w="216"/>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図表番号一覧</w:t>
            </w:r>
          </w:p>
        </w:tc>
        <w:tc>
          <w:tcPr>
            <w:tcW w:type="dxa" w:w="42"/>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100</w:t>
            </w:r>
          </w:p>
        </w:tc>
      </w:tr>
    </w:tbl>
    <w:p>
      <w:pPr>
        <w:spacing w:after="80" w:before="80" w:line="280"/>
        <w:ind w:left="288"/>
      </w:pPr>
      <w:r>
        <w:rPr>
          <w:rFonts w:ascii="游ゴシック" w:cs="游ゴシック" w:eastAsia="游ゴシック" w:hAnsi="游ゴシック"/>
          <w:i/>
          <w:iCs/>
          <w:sz w:val="20"/>
          <w:szCs w:val="20"/>
        </w:rPr>
        <w:t xml:space="preserve">⚠ 頁番号は、本素案Ver.2.5の組版によるものです。図表の差替え・加筆により頁の割付けが動いた場合は、目次の頁番号も併せて更新します。</w:t>
      </w:r>
    </w:p>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i/>
          <w:iCs/>
          <w:sz w:val="20"/>
          <w:szCs w:val="20"/>
        </w:rPr>
        <w:t xml:space="preserve">※本素案Ver.2.5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施策体系は、町からご提示いただいた「施策・事業の体系（案）」の章立てを基本とし認知症施策のみを独立章に引き上げるＣ案により、全7章17節37項143事業で構成しています。本版では、介護保険制度改正の主な内容（第1章1-5）、日常生活圏域の設定（同1-6）、24時間対応サービスの確保方策及び介護施設整備に係る基本方針（第9章9-1）、低所得者支援（同9-3）を新たに加えました。施策体系及び事業の追加は第2回策定委員会（令和8年11月）の選択1のご判断により確定し、介護給付費準備基金の取崩方針と令和9年度の介護報酬改定を踏まえ、第3回策定委員会（令和9年1月）で計画書（案）として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 章</w:t>
      </w:r>
    </w:p>
    <w:p>
      <w:pPr>
        <w:spacing w:after="140" w:before="0" w:line="320"/>
      </w:pPr>
      <w:r>
        <w:rPr>
          <w:rFonts w:ascii="游ゴシック" w:cs="游ゴシック" w:eastAsia="游ゴシック" w:hAnsi="游ゴシック"/>
          <w:b w:val="1"/>
          <w:bCs w:val="1"/>
          <w:i w:val="false"/>
          <w:iCs w:val="false"/>
          <w:sz w:val="20"/>
          <w:szCs w:val="2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1-1　計画策定の背景と目的</w:t>
      </w:r>
    </w:p>
    <w:p>
      <w:pPr>
        <w:spacing w:after="80" w:before="180" w:line="300"/>
      </w:pPr>
      <w:r>
        <w:rPr>
          <w:rFonts w:ascii="游ゴシック" w:cs="游ゴシック" w:eastAsia="游ゴシック" w:hAnsi="游ゴシック"/>
          <w:b w:val="1"/>
          <w:bCs w:val="1"/>
          <w:i w:val="false"/>
          <w:iCs w:val="false"/>
          <w:sz w:val="21"/>
          <w:szCs w:val="21"/>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1"/>
          <w:szCs w:val="21"/>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0"/>
          <w:szCs w:val="20"/>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1"/>
          <w:szCs w:val="21"/>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1"/>
          <w:szCs w:val="21"/>
        </w:rPr>
        <w:t xml:space="preserve">　▌ 本計画の目的</w:t>
      </w:r>
    </w:p>
    <w:p>
      <w:pPr>
        <w:spacing w:after="80" w:before="50" w:line="320"/>
        <w:ind w:firstLine="200"/>
        <w:jc w:val="left"/>
      </w:pPr>
      <w:r>
        <w:rPr>
          <w:rFonts w:ascii="游ゴシック" w:cs="游ゴシック" w:eastAsia="游ゴシック" w:hAnsi="游ゴシック"/>
          <w:i w:val="false"/>
          <w:iCs w:val="false"/>
          <w:sz w:val="20"/>
          <w:szCs w:val="20"/>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6"/>
          <w:szCs w:val="26"/>
        </w:rPr>
        <w:t>1-2　計画の位置付け</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1"/>
          <w:szCs w:val="21"/>
        </w:rPr>
        <w:t xml:space="preserve">　▌ 法令上の根拠</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0"/>
          <w:szCs w:val="20"/>
        </w:rPr>
        <w:t xml:space="preserve">③　共生社会の実現を推進するための認知症基本法第13条（市町村認知症施策推進計画）</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上位計画・関連計画との関係（認知症基本法第13条第2項の調和）</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6"/>
          <w:szCs w:val="26"/>
        </w:rPr>
        <w:t>1-3　計画の期間</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100" w:before="200" w:line="320"/>
      </w:pPr>
      <w:r>
        <w:rPr>
          <w:rFonts w:ascii="游ゴシック" w:cs="游ゴシック" w:eastAsia="游ゴシック" w:hAnsi="游ゴシック"/>
          <w:b w:val="1"/>
          <w:bCs w:val="1"/>
          <w:i w:val="false"/>
          <w:iCs w:val="false"/>
          <w:sz w:val="26"/>
          <w:szCs w:val="26"/>
        </w:rPr>
        <w:t>1-4　計画策定の体制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1"/>
          <w:szCs w:val="21"/>
        </w:rPr>
        <w:t xml:space="preserve">　▌ 策定委員会</w:t>
      </w:r>
    </w:p>
    <w:p>
      <w:pPr>
        <w:spacing w:after="80" w:before="50" w:line="320"/>
        <w:ind w:firstLine="200"/>
        <w:jc w:val="left"/>
      </w:pPr>
      <w:r>
        <w:rPr>
          <w:rFonts w:ascii="游ゴシック" w:cs="游ゴシック" w:eastAsia="游ゴシック" w:hAnsi="游ゴシック"/>
          <w:i w:val="false"/>
          <w:iCs w:val="false"/>
          <w:sz w:val="20"/>
          <w:szCs w:val="20"/>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1"/>
          <w:szCs w:val="21"/>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0"/>
          <w:szCs w:val="20"/>
        </w:rPr>
        <w:t xml:space="preserve">①　一般高齢者ニーズ調査（委託仕様書上の対象者数：65歳以上の高齢者1,000名。有効票576件）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要支援・要介護認定者調査（委託仕様書上の対象者数：認定者300名。有効票142件）</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0"/>
          <w:szCs w:val="20"/>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1"/>
          <w:szCs w:val="21"/>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0"/>
          <w:szCs w:val="20"/>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1-5　介護保険制度改正の主な内容</w:t>
      </w:r>
    </w:p>
    <w:p>
      <w:pPr>
        <w:spacing w:after="80" w:before="180" w:line="300"/>
      </w:pPr>
      <w:r>
        <w:rPr>
          <w:rFonts w:ascii="游ゴシック" w:cs="游ゴシック" w:eastAsia="游ゴシック" w:hAnsi="游ゴシック"/>
          <w:i w:val="false"/>
          <w:iCs w:val="false"/>
          <w:sz w:val="20"/>
          <w:szCs w:val="20"/>
        </w:rPr>
        <w:t xml:space="preserve">第10期計画は、国の基本指針の告示前に素案を作成しています。本節は、令和8年6月以降に国が示した制度改正の内容のうち、本計画の記載に関わるものを整理するものです。いずれも計画期間の初年度（令和9年度）から適用されるため、第10期計画に位置付けを欠くと、計画期間を通じて対応できないこととなります。国の告示及び関係政省令の公布を受けて、最終的に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国の第10期基本指針（案）の動向</w:t>
      </w:r>
    </w:p>
    <w:p>
      <w:pPr>
        <w:spacing w:after="80" w:before="180" w:line="300"/>
      </w:pPr>
      <w:r>
        <w:rPr>
          <w:rFonts w:ascii="游ゴシック" w:cs="游ゴシック" w:eastAsia="游ゴシック" w:hAnsi="游ゴシック"/>
          <w:i w:val="false"/>
          <w:iCs w:val="false"/>
          <w:sz w:val="20"/>
          <w:szCs w:val="20"/>
        </w:rPr>
        <w:t xml:space="preserve">国の基本指針案では、市町村計画の基本的記載事項として、サービス種類別見込量及び地域支援事業について令和22年度（2040年度）を含む中長期推計を行い、2040年を見据えたサービス提供体制の確保に関して取り組むべき事項を示す方向が提示されました。本計画では、サービス見込量に令和17年度・令和22年度の推計を掲げ（第9章9-1）、提供体制の確保を第7章に置いています。また、時間軸・地域軸、中山間・人口減少地域、医療介護連携、高齢者向け住まい、人材確保・生産性向上・経営改善支援、ロジックモデルとPDCAの充実が示されています。あわせて、計画策定に当たって確認すべき指標・状況として11事項の別表が新設される案が示されました。本計画の対応状況は次表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36"/>
        <w:gridCol w:w="32"/>
        <w:gridCol w:w="208"/>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事項</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確認すべき指標・状況</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本計画での記載箇所・確認事項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地勢と交通（地域特性、交通機関、地理的状況、生活圏）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1-6・2-1・2-7・5-3（移動支援3制度）。7地区ごとの社会資源と公共交通の状況は町のご提供による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人口構造（年齢三区分人口、高齢化率、世帯数）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対応済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2-1・2-2（図2-1〜図2-3）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人口動態（出生数、死亡数、健康寿命、死亡場所別の死亡数）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人口動態統計の市区町村別集計及び宮城県の健康寿命により補う。死亡場所は看取り介護加算等の算定状況で代替する（確認事項No.156）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認定者数の状況（要介護度別認定者数、年齢調整後の認定率、計画と実績の乖離）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2-3・9-1・8-3。年齢調整後の認定率は見える化システムから取得する（確認事項No.155）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五</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介護サービス等の利用状況（受給者数、受給率、自市町村内の事業所によるサービス提供割合、1人当たり費用額・算定回数）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2-3・2-4。受給率及び自給率は見える化システムから取得する（確認事項No.155）。本町は町外施設の利用が常態化しており、自給率は最も説明を要する指標である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介護サービス見込量（見込量、地域支援事業見込量、家族の就業の状況・意向）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9-1・9-2・2-6。家族の就業の状況・意向は在宅介護実態調査（142件）により把握している。地域支援事業の見込量はデータの受領待ち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介護保険施設・事業所の状況（施設・事業所数、利用者数、入所率、稼働率、従事者数）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2-7・7-1・9-1。入所率・稼働率は2施設への照会による（確認事項No.29・No.159）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高齢者向け住まいの状況（有料老人ホーム等の施設数・戸数、入居者数、定員、要介護者等である入居者の状況）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町及び宮城県の名簿により把握する（確認事項No.154）。第10期は基本的記載事項に「要介護者等の入居状況」が追加される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地域支援事業の状況（多様なサービス・活動の数・参加者数、通いの場の数・参加者数、相談体制、交付金における評価）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3-2・5-4・3-3・8-4。地域支援事業のデータの受領待ち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医療介護連携の状況（医療介護連携に関する加算の算定状況）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国保連の給付実績により退院・退所加算等の算定状況を把握する（確認事項No.158）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十一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認知症の人の数及び関連施策の状況（認知症の人の数・推計値、認知症疾患医療センター、認知症サポート医、社会参加の機会・場の数）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第6章6-1〜6-4。認知症の人の数は認定調査の日常生活自立度Ⅱ以上により把握する（確認事項No.157）。認知症疾患医療センター・認知症サポート医は確認事項No.138</w:t>
            </w:r>
          </w:p>
        </w:tc>
      </w:tr>
    </w:tbl>
    <w:p>
      <w:pPr>
        <w:spacing w:after="80" w:before="180" w:line="300"/>
      </w:pPr>
      <w:r>
        <w:rPr>
          <w:rFonts w:ascii="游ゴシック" w:cs="游ゴシック" w:eastAsia="游ゴシック" w:hAnsi="游ゴシック"/>
          <w:i w:val="false"/>
          <w:iCs w:val="false"/>
          <w:sz w:val="20"/>
          <w:szCs w:val="20"/>
        </w:rPr>
        <w:t xml:space="preserve">対応済1・一部7・未対応3です。未対応の3事項は、いずれも町のデータ又は宮城県への照会により補えるものであり、新たな調査を要しません。⚠ 本別表は令和8年6月29日の社会保障審議会介護保険部会に示された案であり、告示後に最終照合します。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　▌ 中山間・人口減少地域（特定地域）に係る特例の創設</w:t>
      </w:r>
    </w:p>
    <w:p>
      <w:pPr>
        <w:spacing w:after="80" w:before="180" w:line="300"/>
      </w:pPr>
      <w:r>
        <w:rPr>
          <w:rFonts w:ascii="游ゴシック" w:cs="游ゴシック" w:eastAsia="游ゴシック" w:hAnsi="游ゴシック"/>
          <w:i w:val="false"/>
          <w:iCs w:val="false"/>
          <w:sz w:val="20"/>
          <w:szCs w:val="20"/>
        </w:rPr>
        <w:t xml:space="preserve">国は、中山間・人口減少地域におけるサービス提供体制を確保するため、令和9年4月から次の2つの特例を創設する方針を示しています。本町は過疎地域の持続的発展の支援に関する特別措置法第2条第1項に規定する過疎地域に指定されており、いずれの特例についても対象となり得る立場に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20"/>
        <w:gridCol w:w="12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本町における想定される活用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w:t>
              <w:br/>
              <w:t xml:space="preserve">（特例介護サービスの新類型）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限り、管理者や専門職の常勤・専従要件、夜勤要件等の人員配置基準を緩和した特例的な介護サービスの類型。報酬は従来の出来高払いに加え、月単位の包括払いを選択できる。職員の賃金改善、ICT機器の活用、事業所間の連携等が前提とされ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回策定委員会では、配置基準が厳しくなる一方で機能訓練指導員・看護師・介護支援専門員の確保が困難であること、施設で前年度に1ユニット分の人員を削減したことが報告されています（2-7）。人員配置基準の緩和は、この状況に直接対応するもので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特定地域居宅サービス等事業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地域のサービス提供主体が少ない場合に、市町村が事業として居宅介護サービス等を実施できる仕組み。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町は定期巡回・随時対応型訪問介護看護が月0.4人、看護小規模多機能型居宅介護が月0.2人にとどまり、夜間対応型訪問介護は令和7年度の実績がありません（9-1）。24時間対応の体制を確保する方策の選択肢の一つとなります（9-1）。</w:t>
            </w:r>
          </w:p>
        </w:tc>
      </w:tr>
    </w:tbl>
    <w:p>
      <w:pPr>
        <w:spacing w:after="80" w:before="180" w:line="300"/>
      </w:pPr>
      <w:r>
        <w:rPr>
          <w:rFonts w:ascii="游ゴシック" w:cs="游ゴシック" w:eastAsia="游ゴシック" w:hAnsi="游ゴシック"/>
          <w:i w:val="false"/>
          <w:iCs w:val="false"/>
          <w:sz w:val="20"/>
          <w:szCs w:val="20"/>
        </w:rPr>
        <w:t xml:space="preserve">特定地域の指定基準は、令和8年6月29日の社会保障審議会介護保険部会に素案として示されました。①特別地域加算・離島等相当サービスの対象地域、②75歳以上人口密度が5人／km²未満又は75歳以上人口が1,000人未満かつ減少、③①②に該当しない場合でも、特定のサービス類型の事業所が地域に存在しない、又は事業所が僅少かつ廃止を検討しているなどサービス基盤の維持が困難である地域、の3段階の構造です。市町村が指定の要否を検討し、その意向を踏まえて都道府県が対象地域を定めます。本町は、過疎地域であることから①に、夜間対応型訪問介護等の事業所が存在しないことから③に該当する可能性があります。宮城県からの意向照会の有無及び指定を受ける意向を確認しています（確認事項No.152）。</w:t>
      </w:r>
    </w:p>
    <w:p>
      <w:pPr>
        <w:spacing w:after="80" w:before="50" w:line="320"/>
        <w:ind w:firstLine="200"/>
        <w:jc w:val="left"/>
      </w:pPr>
      <w:r>
        <w:rPr>
          <w:rFonts w:ascii="游ゴシック" w:cs="游ゴシック" w:eastAsia="游ゴシック" w:hAnsi="游ゴシック"/>
          <w:i w:val="false"/>
          <w:iCs w:val="false"/>
          <w:sz w:val="21"/>
          <w:szCs w:val="21"/>
        </w:rPr>
        <w:t xml:space="preserve">　▌ 社会福祉法等の一部を改正する法律（令和8年法律第51号）</w:t>
      </w:r>
    </w:p>
    <w:p>
      <w:pPr>
        <w:spacing w:after="80" w:before="180" w:line="300"/>
      </w:pPr>
      <w:r>
        <w:rPr>
          <w:rFonts w:ascii="游ゴシック" w:cs="游ゴシック" w:eastAsia="游ゴシック" w:hAnsi="游ゴシック"/>
          <w:i w:val="false"/>
          <w:iCs w:val="false"/>
          <w:sz w:val="20"/>
          <w:szCs w:val="20"/>
        </w:rPr>
        <w:t xml:space="preserve">令和8年に社会福祉法等の一部を改正する法律（令和8年法律第51号）が公布され、介護保険法についても改正が行われました。施行は原則として令和9年4月1日であり、第10期計画の初年度から適用されます。本計画に関係する改正事項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14"/>
        <w:gridCol w:w="114"/>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改正事項</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本計画における取扱い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特定地域サービス及び特定地域居宅サービス等事業の創設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中山間・人口減少地域について、人員配置基準の弾力化と月単位の包括的な報酬を可能とする特例のサービス類型を設けるとともに、市町村が事業としてサービスを実施できる仕組みを設ける。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前記のとおり、24時間対応サービスの確保方策の選択肢として検討します（9-1）。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夜間対応型訪問介護の廃止と定期巡回・随時対応型訪問介護看護への統合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夜間対応型訪問介護を廃止し、定期巡回・随時対応型訪問介護看護に統合する。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サービス種別の区分が変わるため、第9章9-1の見込量は統合後の区分により算定する必要があります。本町は夜間対応型訪問介護の令和7年度の実績がないため実績への影響はありませんが、表の構成に関わるため、施行内容を確認しています（確認事項No.151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介護保険事業（支援）計画の記載事項の見直し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中長期的なサービス見通しを計画に定めることを必須とするとともに、医療介護連携の状況並びに有料老人ホーム及びサービス付き高齢者向け住宅の入居定員を勘案することを明確化する。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長期の見通しは第2章2-2及び第9章9-1に令和17年度・令和22年度として置いています。医療介護連携の状況（確認事項No.158）及び高齢者向け住まいの入居定員（確認事項No.154）は、確認のうえ第2章2-7に加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介護予防・地域の支え合い拠点機能の強化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住民主体の通いの場を拠点として位置づけ、介護予防・日常生活支援総合事業に位置づける。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第5章5-4（一般介護予防事業）に反映します。通いの場の箇所数・参加者数は地域支援事業のデータの受領後に掲げます。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頼れる身寄りがいない高齢者等への支援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元保証、日常生活支援、死後事務等を行う事業を第二種社会福祉事業に位置づける。あわせて、介護予防ケアマネジメントについて、指定居宅介護支援事業者が市町村から直接委託を受けて実施できること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身寄りのない高齢者等への支援を第5章5-3の相談支援に反映します。介護予防ケアマネジメントの直接委託は、地域包括支援センターの業務負担の軽減に資するため、実施の可否を町と協議します（確認事項No.160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有料老人ホーム制度の見直し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有料老人ホームについて登録制を導入し、併設事業所による過剰なサービス提供（いわゆる囲い込み）への対応を図る。あわせて登録施設介護（予防）支援を新設する。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町内及び近隣の有料老人ホームの状況を確認のうえ、第2章2-7に高齢者向け住まいの状況を置きます（確認事項No.154）。ケアプラン点検（8-2）の対象にも影響します。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介護支援専門員証の更新制の廃止、要介護認定等の申請の代行を行うことができる者への認知症対応型共同生活介護事業者等の追加、介護被保険者証の電子資格確認の導入。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更新制の廃止は第7章7-4（介護人材の確保）に、申請代行者の追加及び電子資格確認は第8章8-5（情報提供・相談体制）に反映します。</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　▌ 医療計画等との整合</w:t>
      </w:r>
    </w:p>
    <w:p>
      <w:pPr>
        <w:spacing w:after="80" w:before="180" w:line="300"/>
      </w:pPr>
      <w:r>
        <w:rPr>
          <w:rFonts w:ascii="游ゴシック" w:cs="游ゴシック" w:eastAsia="游ゴシック" w:hAnsi="游ゴシック"/>
          <w:i w:val="false"/>
          <w:iCs w:val="false"/>
          <w:sz w:val="20"/>
          <w:szCs w:val="20"/>
        </w:rPr>
        <w:t xml:space="preserve">令和8年7月14日付の厚生労働省通知（介護保険最新情報Vol.1525）を踏まえ、第8次医療計画後期の在宅医療整備目標と第10期介護保険事業計画のサービス量・施設整備を整合させます。療養病床、介護医療院、介護老人保健施設、介護老人福祉施設、在宅医療及び居宅サービスを一体で確認し、高齢者救急後の受け皿、24時間対応、協力医療機関、人材確保を協議事項とします。本町は国民健康保険川崎病院を有しており、同病院との連携を認知症施策の重点施策（6-3 J-5）にも位置付けています。宮城県の医療計画（仙南医療圏）の在宅医療整備目標、同病院の病床及び在宅医療の実施状況、高齢者救急の状況、施設の協力医療機関の状況を確認のうえ、第9章9-1に整合の状況を掲げます（確認事項No.153）。</w:t>
      </w:r>
    </w:p>
    <w:p>
      <w:pPr>
        <w:spacing w:after="80" w:before="180" w:line="300"/>
      </w:pPr>
      <w:r>
        <w:rPr>
          <w:rFonts w:ascii="游ゴシック" w:cs="游ゴシック" w:eastAsia="游ゴシック" w:hAnsi="游ゴシック"/>
          <w:i w:val="false"/>
          <w:iCs w:val="false"/>
          <w:sz w:val="20"/>
          <w:szCs w:val="20"/>
        </w:rPr>
        <w:t xml:space="preserve">⚠ 本節の制度改正の内容は、令和8年6月以降に国が示した資料によるものです。当社の作業環境のネットワーク制限により厚生労働省のウェブサイトを参照できないため、原典（『基本指針の構成について』第135回社会保障審議会介護保険部会 資料2-1・令和8年6月29日、『社会福祉法等の一部を改正する法律の概要について』社会保障審議会 生活困窮者自立支援及び生活保護部会（第30回）資料2・令和8年7月17日、介護保険最新情報Vol.1525・令和8年7月14日）との照合を町にお願いしています（確認事項No.151〜153）。</w:t>
      </w:r>
    </w:p>
    <w:p>
      <w:pPr>
        <w:spacing w:after="100" w:before="200" w:line="320"/>
      </w:pPr>
      <w:r>
        <w:rPr>
          <w:rFonts w:ascii="游ゴシック" w:cs="游ゴシック" w:eastAsia="游ゴシック" w:hAnsi="游ゴシック"/>
          <w:b w:val="1"/>
          <w:bCs w:val="1"/>
          <w:i w:val="false"/>
          <w:iCs w:val="false"/>
          <w:sz w:val="26"/>
          <w:szCs w:val="26"/>
        </w:rPr>
        <w:t xml:space="preserve">1-6　日常生活圏域の設定</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市町村介護保険事業計画において日常生活圏域ごとの必要利用定員総数を定めることを求めており、国の基本指針は、地理的条件、人口、交通事情その他の社会的条件、介護給付等対象サービスを提供するための施設の整備の状況等を総合的に勘案して日常生活圏域を設定することとしています。</w:t>
      </w:r>
    </w:p>
    <w:p>
      <w:pPr>
        <w:spacing w:after="80" w:before="180" w:line="300"/>
      </w:pPr>
      <w:r>
        <w:rPr>
          <w:rFonts w:ascii="游ゴシック" w:cs="游ゴシック" w:eastAsia="游ゴシック" w:hAnsi="游ゴシック"/>
          <w:i w:val="false"/>
          <w:iCs w:val="false"/>
          <w:sz w:val="20"/>
          <w:szCs w:val="20"/>
        </w:rPr>
        <w:t xml:space="preserve">本町は、総面積約270km²のうち約85％を山林が占め、第1号被保険者数が3,270人（令和6年度）と小規模であることから、第9期計画に引き続き、町域全体を1つの日常生活圏域とします。地域包括支援センターは1か所であり、圏域を分けることによる相談体制の分散は行いません。一方、施設・事業所は役場周辺に偏在しており、中山間部の住民にとっては距離が利用の障壁となるため、計画の実施に当たっては、次の7地区を単位としてサービスの届き方を確認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90"/>
        <w:gridCol w:w="13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地区</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含まれる地域</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 裏丁上下・本荒町中新町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役場周辺の中心市街地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施設・事業所が集中する地区。高齢者のみ世帯の状況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 前川青根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西部（青根温泉方面）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役場からの距離が最も遠い地区の一つ。訪問系サービスの到達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 今宿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中心部の北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デマンドバスの運行と通所系サービスの送迎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 川内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訪問系サービスの到達と移動支援3制度の利用状況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⑤ 本砂金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南部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同上。高齢化率と独居高齢者の状況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⑥ 小野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隣接市町の事業所の利用の可能性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⑦ 小沢支倉碁石支倉台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東部（支倉地区）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同上。住宅団地を含む地区の状況</w:t>
            </w:r>
          </w:p>
        </w:tc>
      </w:tr>
    </w:tbl>
    <w:p>
      <w:pPr>
        <w:spacing w:after="80" w:before="180" w:line="300"/>
      </w:pPr>
      <w:r>
        <w:rPr>
          <w:rFonts w:ascii="游ゴシック" w:cs="游ゴシック" w:eastAsia="游ゴシック" w:hAnsi="游ゴシック"/>
          <w:i w:val="false"/>
          <w:iCs w:val="false"/>
          <w:sz w:val="20"/>
          <w:szCs w:val="20"/>
        </w:rPr>
        <w:t xml:space="preserve">⚠ 7地区ごとの人口・高齢化率・要介護認定者数・サービス利用状況、及び各事業所が運営規程で定める通常の事業実施地域は、町からのご提供及び事業所ヒアリングにより把握します（確認事項No.29・No.111）。これらを重ね合わせることにより、訪問・通所が困難な地区を特定し、移動支援3制度（福祉移送サービス・デマンドバス・外出支援）の配分の検討に用います。必要利用定員総数は、日常生活圏域が1圏域であるため、町全体の見込量がそのまま必要利用定員総数となります（第9章9-1）。</w:t>
      </w:r>
    </w:p>
    <w:p>
      <w:pPr>
        <w:spacing w:after="0" w:before="240" w:line="320"/>
      </w:pPr>
      <w:r>
        <w:rPr>
          <w:rFonts w:ascii="游ゴシック" w:cs="游ゴシック" w:eastAsia="游ゴシック" w:hAnsi="游ゴシック"/>
          <w:b w:val="1"/>
          <w:bCs w:val="1"/>
          <w:i w:val="false"/>
          <w:iCs w:val="false"/>
          <w:sz w:val="28"/>
          <w:szCs w:val="28"/>
        </w:rPr>
        <w:t xml:space="preserve">第 2 章</w:t>
      </w:r>
    </w:p>
    <w:p>
      <w:pPr>
        <w:spacing w:after="140" w:before="0" w:line="320"/>
      </w:pPr>
      <w:r>
        <w:rPr>
          <w:rFonts w:ascii="游ゴシック" w:cs="游ゴシック" w:eastAsia="游ゴシック" w:hAnsi="游ゴシック"/>
          <w:b w:val="1"/>
          <w:bCs w:val="1"/>
          <w:i w:val="false"/>
          <w:iCs w:val="false"/>
          <w:sz w:val="20"/>
          <w:szCs w:val="2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2-1　人口・世帯の現状</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令和3年度末</w:t>
              <w:br/>
              <w:t xml:space="preserve">（2022.3）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令和7年度末</w:t>
              <w:br/>
              <w:t xml:space="preserve">（2026.3）</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1,742人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R8.3月分・年報データR3年度）</w:t>
      </w:r>
    </w:p>
    <w:p>
      <w:pPr>
        <w:spacing w:after="60" w:before="120"/>
        <w:jc w:val="center"/>
      </w:pPr>
      <w:r>
        <w:rPr>
          <w:rFonts w:ascii="游ゴシック" w:hAnsi="游ゴシック" w:eastAsia="游ゴシック" w:cs="游ゴシック"/>
          <w:sz w:val="21"/>
          <w:szCs w:val="21"/>
        </w:rP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図2-1　第1号被保険者の年齢階級別推移（令和3年度末→令和7年度末）</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第1号被保険者総数はほぼ横ばいだが、後期高齢者（75歳以上）は4年で15.4％増加。年齢構成の高齢化が進行している。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数の総数は令和3年度末3,255人から令和7年度末3,240人と微減ですが、内訳を見ると前期高齢者（65〜75歳未満）が14.2％減少する一方、後期高齢者（75歳以上）は15.4％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75歳以上85歳未満の階層が令和3年度末905人から令和7年度末1,142人と4年で237人（＋26.2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1"/>
          <w:szCs w:val="21"/>
        </w:rPr>
        <w:t xml:space="preserve">　▌ 人口動態（令和7年度）</w:t>
      </w:r>
    </w:p>
    <w:p>
      <w:pPr>
        <w:spacing w:after="30" w:before="30" w:line="300"/>
        <w:ind w:left="431"/>
      </w:pPr>
      <w:r>
        <w:rPr>
          <w:rFonts w:ascii="游ゴシック" w:cs="游ゴシック" w:eastAsia="游ゴシック" w:hAnsi="游ゴシック"/>
          <w:i w:val="false"/>
          <w:iCs w:val="false"/>
          <w:sz w:val="20"/>
          <w:szCs w:val="20"/>
        </w:rPr>
        <w:t xml:space="preserve">・年度中の増：153人（うち65歳到達119人・転入21人・その他13人）</w:t>
      </w:r>
    </w:p>
    <w:p>
      <w:pPr>
        <w:spacing w:after="30" w:before="30" w:line="300"/>
        <w:ind w:left="431"/>
      </w:pPr>
      <w:r>
        <w:rPr>
          <w:rFonts w:ascii="游ゴシック" w:cs="游ゴシック" w:eastAsia="游ゴシック" w:hAnsi="游ゴシック"/>
          <w:i w:val="false"/>
          <w:iCs w:val="false"/>
          <w:sz w:val="20"/>
          <w:szCs w:val="20"/>
        </w:rPr>
        <w:t xml:space="preserve">・年度中の減：172人（うち死亡137人・転出32人・その他3人）</w:t>
      </w:r>
    </w:p>
    <w:p>
      <w:pPr>
        <w:spacing w:after="30" w:before="30" w:line="300"/>
        <w:ind w:left="431"/>
      </w:pPr>
      <w:r>
        <w:rPr>
          <w:rFonts w:ascii="游ゴシック" w:cs="游ゴシック" w:eastAsia="游ゴシック" w:hAnsi="游ゴシック"/>
          <w:i w:val="false"/>
          <w:iCs w:val="false"/>
          <w:sz w:val="20"/>
          <w:szCs w:val="20"/>
        </w:rPr>
        <w:t xml:space="preserve">・自然動態は減少局面（死亡137人＞65歳到達119人）に入っており、第1号被保険者数は今後緩やかに減少する見込みです。令和7年度は年間で19人の純減となりました。</w:t>
      </w:r>
    </w:p>
    <w:p>
      <w:pPr>
        <w:spacing w:after="80" w:before="180" w:line="300"/>
      </w:pPr>
      <w:r>
        <w:rPr>
          <w:rFonts w:ascii="游ゴシック" w:cs="游ゴシック" w:eastAsia="游ゴシック" w:hAnsi="游ゴシック"/>
          <w:b w:val="1"/>
          <w:bCs w:val="1"/>
          <w:i w:val="false"/>
          <w:iCs w:val="false"/>
          <w:sz w:val="21"/>
          <w:szCs w:val="21"/>
        </w:rPr>
        <w:t xml:space="preserve">　▌ 世帯の状況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0"/>
          <w:szCs w:val="20"/>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6"/>
          <w:szCs w:val="26"/>
        </w:rPr>
        <w:t>2-2　高齢者の状況</w:t>
      </w:r>
    </w:p>
    <w:p>
      <w:pPr>
        <w:spacing w:after="80" w:before="180" w:line="300"/>
      </w:pPr>
      <w:r>
        <w:rPr>
          <w:rFonts w:ascii="游ゴシック" w:cs="游ゴシック" w:eastAsia="游ゴシック" w:hAnsi="游ゴシック"/>
          <w:b w:val="1"/>
          <w:bCs w:val="1"/>
          <w:i w:val="false"/>
          <w:iCs w:val="false"/>
          <w:sz w:val="21"/>
          <w:szCs w:val="21"/>
        </w:rPr>
        <w:t xml:space="preserve">　▌ 高齢化率</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rFonts w:ascii="游ゴシック" w:hAnsi="游ゴシック" w:eastAsia="游ゴシック" w:cs="游ゴシック"/>
          <w:sz w:val="21"/>
          <w:szCs w:val="21"/>
        </w:rP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図2-2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世帯非課税（年金80.9〜120万円）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本人非課税・世帯課税（年金80.9万円以下）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本人課税（320〜420万円）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本人課税（420〜520万円）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本人課税（520〜620万円）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本人課税（620〜720万円）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3,240人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 所得段階別・年度末現在被保険者数）</w:t>
      </w:r>
    </w:p>
    <w:p>
      <w:pPr>
        <w:spacing w:after="60" w:before="120"/>
        <w:jc w:val="center"/>
      </w:pPr>
      <w:r>
        <w:rPr>
          <w:rFonts w:ascii="游ゴシック" w:hAnsi="游ゴシック" w:eastAsia="游ゴシック" w:cs="游ゴシック"/>
          <w:sz w:val="21"/>
          <w:szCs w:val="21"/>
        </w:rP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図2-3　所得段階別第1号被保険者の構成（令和7年度末・計3,240人）</w:t>
      </w:r>
    </w:p>
    <w:p>
      <w:pPr>
        <w:spacing w:after="80" w:before="50" w:line="320"/>
        <w:ind w:firstLine="200"/>
        <w:jc w:val="left"/>
      </w:pPr>
      <w:r>
        <w:rPr>
          <w:rFonts w:ascii="游ゴシック" w:cs="游ゴシック" w:eastAsia="游ゴシック" w:hAnsi="游ゴシック"/>
          <w:i w:val="false"/>
          <w:iCs w:val="false"/>
          <w:sz w:val="20"/>
          <w:szCs w:val="20"/>
        </w:rPr>
        <w:t xml:space="preserve">非課税層（第1〜3段階）が986人（30.4％）を占め、低所得高齢者への保険料軽減・補足給付の重要性が示されています。一方、本人課税層（第6〜13段階）は1,232人（38.0％）で、相対的な保険料負担力を有する層も一定規模存在しています。川崎町は令和6年度に13段階へ移行しており、第10段階以上（合計所得420万円以上）は78人（2.4％）で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第1段階（年金収入80.9万円以下の世帯非課税層）が383人と多く、後期高齢者の増加に伴いさらに増加する可能性があります。この層は保険料軽減措置（公費による軽減）の対象であり、町の一般会計繰入（低所得者保険料軽減繰入金）が継続的に必要となります。なお令和6年度末と比べると、第1段階は412人から383人へ、第4段階は383人から343人へ減少する一方、第6段階は375人から410人へ、第8段階は218人から232人へ増加しており、中間所得層の比重がやや高ま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6"/>
          <w:szCs w:val="26"/>
        </w:rPr>
        <w:t>2-3　要介護認定とサービス利用の状況</w:t>
      </w:r>
    </w:p>
    <w:p>
      <w:pPr>
        <w:spacing w:after="80" w:before="180" w:line="300"/>
      </w:pPr>
      <w:r>
        <w:rPr>
          <w:rFonts w:ascii="游ゴシック" w:cs="游ゴシック" w:eastAsia="游ゴシック" w:hAnsi="游ゴシック"/>
          <w:b w:val="1"/>
          <w:bCs w:val="1"/>
          <w:i w:val="false"/>
          <w:iCs w:val="false"/>
          <w:sz w:val="21"/>
          <w:szCs w:val="21"/>
        </w:rPr>
        <w:t xml:space="preserve">　▌ 要介護（支援）認定者数の推移と見込み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要介護（支援）認定者数は、令和6年度562人から令和7年度568人へ6人増加し、令和8年度は567人とほぼ横ばいで推移しています。第10期（令和9〜11年度）は576〜581人と見込まれ、令和7年度からの3か年でおよそ2％の増加となります。要介護度別に見ると、要支援2と要介護4が増加し、要介護2が減少する傾向にあり、認定者数の総数以上に重度化が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
        <w:gridCol w:w="90"/>
        <w:gridCol w:w="90"/>
        <w:gridCol w:w="90"/>
        <w:gridCol w:w="90"/>
        <w:gridCol w:w="90"/>
        <w:gridCol w:w="90"/>
        <w:gridCol w:w="90"/>
        <w:gridCol w:w="90"/>
      </w:tblGrid>
      <w:tr>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令和8年度（実績見込み）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567人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580人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581人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令和17年度（参考）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令和22年度（参考）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688人</w:t>
            </w:r>
          </w:p>
        </w:tc>
      </w:tr>
    </w:tbl>
    <w:p>
      <w:pPr>
        <w:spacing w:after="80" w:before="30" w:line="260"/>
        <w:jc w:val="right"/>
      </w:pPr>
      <w:r>
        <w:rPr>
          <w:rFonts w:ascii="游ゴシック" w:cs="游ゴシック" w:eastAsia="游ゴシック" w:hAnsi="游ゴシック"/>
          <w:i/>
          <w:iCs/>
          <w:sz w:val="20"/>
          <w:szCs w:val="20"/>
        </w:rPr>
        <w:t xml:space="preserve">要支援2と要介護4が増え、要介護2が減るという重度化の傾向がみられます。令和17年度は639人、令和22年度は688人と見込まれ、令和11年度からさらに107人増えます。令和17年度及び令和22年度は、社会福祉法等の一部を改正する法律（令和8年法律第51号）により計画に定めることとされる中長期の見通しであり、地域包括ケア「見える化」システムの将来推計によります。第1号被保険者数は令和17年度2,967人・令和22年度2,835人と減少するため、認定率はさらに上昇します。</w:t>
      </w:r>
    </w:p>
    <w:p>
      <w:pPr>
        <w:spacing w:after="80" w:before="180" w:line="300"/>
      </w:pPr>
      <w:r>
        <w:rPr>
          <w:rFonts w:ascii="游ゴシック" w:cs="游ゴシック" w:eastAsia="游ゴシック" w:hAnsi="游ゴシック"/>
          <w:b w:val="1"/>
          <w:bCs w:val="1"/>
          <w:i w:val="false"/>
          <w:iCs w:val="false"/>
          <w:sz w:val="21"/>
          <w:szCs w:val="21"/>
        </w:rPr>
        <w:t xml:space="preserve">　▌ 要介護認定率の推移と見込み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年度</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第1号被保険者数</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第1号被保険者の</w:t>
              <w:br/>
              <w:t xml:space="preserve">認定者数</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認定率</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562人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実績見込み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令和10年度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3,203人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3,177人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見込み</w:t>
            </w:r>
          </w:p>
        </w:tc>
      </w:tr>
    </w:tbl>
    <w:p>
      <w:pPr>
        <w:spacing w:after="80" w:before="30" w:line="260"/>
        <w:jc w:val="right"/>
      </w:pPr>
      <w:r>
        <w:rPr>
          <w:rFonts w:ascii="游ゴシック" w:cs="游ゴシック" w:eastAsia="游ゴシック" w:hAnsi="游ゴシック"/>
          <w:i/>
          <w:iCs/>
          <w:sz w:val="17"/>
          <w:szCs w:val="17"/>
        </w:rPr>
        <w:t xml:space="preserve">出典：令和6〜8年度：介護保険事業状況報告／令和9〜11年度：本計画の算定値。認定率＝第1号被保険者の認定者数÷第1号被保険者数</w:t>
      </w:r>
    </w:p>
    <w:p>
      <w:pPr>
        <w:spacing w:after="80" w:before="50" w:line="320"/>
        <w:ind w:firstLine="200"/>
        <w:jc w:val="left"/>
      </w:pPr>
      <w:r>
        <w:rPr>
          <w:rFonts w:ascii="游ゴシック" w:cs="游ゴシック" w:eastAsia="游ゴシック" w:hAnsi="游ゴシック"/>
          <w:i w:val="false"/>
          <w:iCs w:val="false"/>
          <w:sz w:val="20"/>
          <w:szCs w:val="20"/>
        </w:rPr>
        <w:t xml:space="preserve">第1号被保険者の認定率は、令和6年度16.9％から令和11年度18.1％へ1.2ポイント上昇する見込みです。これは認定者数が増える一方で第1号被保険者数が3,270人から3,177人へ減少するためで、被保険者1人あたりの給付費が上昇する構造にあります。第9章のサービス見込量は、この要介護度別の認定者数の見込みを基礎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認定者数は3か年で約2％の増加にとどまるが、第1号被保険者数の減少により認定率は1.2ポイント上昇する。保険料の上昇圧力は、給付費の増加よりも被保険者数の減少によるところが大きい。</w:t>
      </w:r>
    </w:p>
    <w:p>
      <w:pPr>
        <w:spacing w:after="80" w:before="180" w:line="300"/>
      </w:pPr>
      <w:r>
        <w:rPr>
          <w:rFonts w:ascii="游ゴシック" w:cs="游ゴシック" w:eastAsia="游ゴシック" w:hAnsi="游ゴシック"/>
          <w:b w:val="1"/>
          <w:bCs w:val="1"/>
          <w:i w:val="false"/>
          <w:iCs w:val="false"/>
          <w:sz w:val="21"/>
          <w:szCs w:val="21"/>
        </w:rPr>
        <w:t xml:space="preserve">　▌ サービス受給者数（令和7年度の月平均）</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261.8人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うち介護老人福祉施設（特養）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うち介護老人保健施設（老健）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450.0人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1の6）※年間受給者数を12で除した月平均。内訳は0.1人単位に丸めているため、合計と一致しないことがあります（施設サービス計134.3人に対し、うち特養67.8人＋老健66.6人＝134.4人）。</w:t>
      </w:r>
    </w:p>
    <w:p>
      <w:pPr>
        <w:spacing w:after="60" w:before="120"/>
        <w:jc w:val="center"/>
      </w:pPr>
      <w:r>
        <w:rPr>
          <w:rFonts w:ascii="游ゴシック" w:hAnsi="游ゴシック" w:eastAsia="游ゴシック" w:cs="游ゴシック"/>
          <w:sz w:val="21"/>
          <w:szCs w:val="21"/>
        </w:rP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図2-4　サービス受給者の区分別構成（令和7年度の月平均・延べ450.0人）</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の月平均で、サービス受給者は延べ450.0人（重複あり）です。サービス区分別構成は、居宅サービス58.2％、地域密着型12.0％、施設29.8％となっており、在宅介護が主軸を占めています。第9期計画までは特定の月の値を用いていましたが、本計画では第9章の見込量と基準をそろえるため、年度の月平均を用い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ただし、要介護度別の利用状況を見ると、要介護3以上の重度層では施設サービス利用が中心となります。施設サービス受給者134.3人のうち、要介護3以上が115.3人（85.9％）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施設サービス受給者134.3人のうち、特養67.8人・老健66.6人がほぼ拮抗。介護療養型医療施設は令和5年度末に制度廃止されたため第10期では記載しない。介護医療院は0人であり、第10期見込量は0据置とする。</w:t>
      </w:r>
    </w:p>
    <w:p>
      <w:pPr>
        <w:spacing w:after="80" w:before="180" w:line="300"/>
      </w:pPr>
      <w:r>
        <w:rPr>
          <w:rFonts w:ascii="游ゴシック" w:cs="游ゴシック" w:eastAsia="游ゴシック" w:hAnsi="游ゴシック"/>
          <w:b w:val="1"/>
          <w:bCs w:val="1"/>
          <w:i w:val="false"/>
          <w:iCs w:val="false"/>
          <w:sz w:val="21"/>
          <w:szCs w:val="21"/>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3月末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20"/>
          <w:szCs w:val="20"/>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6"/>
          <w:szCs w:val="26"/>
        </w:rPr>
        <w:t xml:space="preserve">2-4　介護給付費の状況</w:t>
      </w:r>
    </w:p>
    <w:p>
      <w:pPr>
        <w:spacing w:after="80" w:before="180" w:line="300"/>
      </w:pPr>
      <w:r>
        <w:rPr>
          <w:rFonts w:ascii="游ゴシック" w:cs="游ゴシック" w:eastAsia="游ゴシック" w:hAnsi="游ゴシック"/>
          <w:b w:val="1"/>
          <w:bCs w:val="1"/>
          <w:i w:val="false"/>
          <w:iCs w:val="false"/>
          <w:sz w:val="21"/>
          <w:szCs w:val="21"/>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rFonts w:ascii="游ゴシック" w:hAnsi="游ゴシック" w:eastAsia="游ゴシック" w:cs="游ゴシック"/>
          <w:sz w:val="21"/>
          <w:szCs w:val="21"/>
        </w:rP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図2-5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0"/>
          <w:szCs w:val="20"/>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1"/>
          <w:szCs w:val="21"/>
        </w:rPr>
        <w:t xml:space="preserve">　▌ 保険料収納実績（令和7年度）</w:t>
      </w:r>
    </w:p>
    <w:p>
      <w:pPr>
        <w:spacing w:after="30" w:before="30" w:line="300"/>
        <w:ind w:left="431"/>
      </w:pPr>
      <w:r>
        <w:rPr>
          <w:rFonts w:ascii="游ゴシック" w:cs="游ゴシック" w:eastAsia="游ゴシック" w:hAnsi="游ゴシック"/>
          <w:i w:val="false"/>
          <w:iCs w:val="false"/>
          <w:sz w:val="20"/>
          <w:szCs w:val="20"/>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0"/>
          <w:szCs w:val="20"/>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0"/>
          <w:szCs w:val="20"/>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6"/>
          <w:szCs w:val="26"/>
        </w:rPr>
        <w:t>2-5　高齢者を取り巻く地域資源</w:t>
      </w:r>
    </w:p>
    <w:p>
      <w:pPr>
        <w:spacing w:after="80" w:before="180" w:line="300"/>
      </w:pPr>
      <w:r>
        <w:rPr>
          <w:rFonts w:ascii="游ゴシック" w:cs="游ゴシック" w:eastAsia="游ゴシック" w:hAnsi="游ゴシック"/>
          <w:b w:val="1"/>
          <w:bCs w:val="1"/>
          <w:i w:val="false"/>
          <w:iCs w:val="false"/>
          <w:sz w:val="21"/>
          <w:szCs w:val="21"/>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0"/>
          <w:szCs w:val="20"/>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1"/>
          <w:szCs w:val="21"/>
        </w:rPr>
        <w:t xml:space="preserve">　▌ 医療資源</w:t>
      </w:r>
    </w:p>
    <w:p>
      <w:pPr>
        <w:spacing w:after="80" w:before="50" w:line="320"/>
        <w:ind w:firstLine="200"/>
        <w:jc w:val="left"/>
      </w:pPr>
      <w:r>
        <w:rPr>
          <w:rFonts w:ascii="游ゴシック" w:cs="游ゴシック" w:eastAsia="游ゴシック" w:hAnsi="游ゴシック"/>
          <w:i w:val="false"/>
          <w:iCs w:val="false"/>
          <w:sz w:val="20"/>
          <w:szCs w:val="20"/>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1"/>
          <w:szCs w:val="21"/>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1"/>
          <w:szCs w:val="21"/>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1"/>
          <w:szCs w:val="21"/>
        </w:rPr>
        <w:t xml:space="preserve">　▌ 移動支援</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0"/>
          <w:szCs w:val="20"/>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1"/>
          <w:szCs w:val="21"/>
        </w:rPr>
        <w:t xml:space="preserve">　▌ 独自施策</w:t>
      </w:r>
    </w:p>
    <w:p>
      <w:pPr>
        <w:spacing w:after="30" w:before="30" w:line="300"/>
        <w:ind w:left="431"/>
      </w:pPr>
      <w:r>
        <w:rPr>
          <w:rFonts w:ascii="游ゴシック" w:cs="游ゴシック" w:eastAsia="游ゴシック" w:hAnsi="游ゴシック"/>
          <w:i w:val="false"/>
          <w:iCs w:val="false"/>
          <w:sz w:val="20"/>
          <w:szCs w:val="20"/>
        </w:rPr>
        <w:t xml:space="preserve">・高齢者紙おむつ等支給事業</w:t>
      </w:r>
    </w:p>
    <w:p>
      <w:pPr>
        <w:spacing w:after="30" w:before="30" w:line="300"/>
        <w:ind w:left="431"/>
      </w:pPr>
      <w:r>
        <w:rPr>
          <w:rFonts w:ascii="游ゴシック" w:cs="游ゴシック" w:eastAsia="游ゴシック" w:hAnsi="游ゴシック"/>
          <w:i w:val="false"/>
          <w:iCs w:val="false"/>
          <w:sz w:val="20"/>
          <w:szCs w:val="20"/>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0"/>
          <w:szCs w:val="20"/>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6"/>
          <w:szCs w:val="26"/>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0"/>
          <w:szCs w:val="20"/>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1"/>
          <w:szCs w:val="21"/>
        </w:rPr>
        <w:t>▌ 調査の概要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いずれも令和8年6月から7月にかけて郵送により配布し、郵送により回収しました。下表の人数は委託仕様書6(1)に定める対象者数であり、実際に発送した通数（配布数）とは異なります。配布数・回収数・回収率及び有効票の判定基準は確認中です【町確認】。割合は、設問ごとに無回答を除いた有効回答数（n）を分母として算出しています（体格（BMI）区分のみ有効票576件を分母とします）。ニーズ調査の個票には回答者の性別・年齢階級等の属性が記録されていないため、属性別の集計は行ってい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委託仕様書上の対象者数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配布数・回収数・回収率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【町確認】（発送通数と返送総数を別に把握）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r>
    </w:tbl>
    <w:p>
      <w:pPr>
        <w:spacing w:after="80" w:before="180" w:line="300"/>
      </w:pPr>
      <w:r>
        <w:rPr>
          <w:rFonts w:ascii="游ゴシック" w:cs="游ゴシック" w:eastAsia="游ゴシック" w:hAnsi="游ゴシック"/>
          <w:b w:val="1"/>
          <w:bCs w:val="1"/>
          <w:i w:val="false"/>
          <w:iCs w:val="false"/>
          <w:sz w:val="21"/>
          <w:szCs w:val="21"/>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0"/>
          <w:szCs w:val="20"/>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n=556</w:t>
            </w:r>
          </w:p>
        </w:tc>
      </w:tr>
    </w:tbl>
    <w:p>
      <w:pPr>
        <w:spacing w:after="80" w:before="180" w:line="300"/>
      </w:pPr>
      <w:r>
        <w:rPr>
          <w:rFonts w:ascii="游ゴシック" w:cs="游ゴシック" w:eastAsia="游ゴシック" w:hAnsi="游ゴシック"/>
          <w:b w:val="1"/>
          <w:bCs w:val="1"/>
          <w:i w:val="false"/>
          <w:iCs w:val="false"/>
          <w:sz w:val="21"/>
          <w:szCs w:val="21"/>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転倒の経験と不安、外出控えは相互に関連しています。転倒不安が「とても」大きい層では外出を控えている割合が48.1％（n=77・37件）に達し、不安が「ない」層（6.0％・n=84・5件）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1"/>
          <w:szCs w:val="21"/>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組織的な活動への参加は限定的である一方、新たなグループ活動への参加意向は半数を超えています。ただし企画・運営（お世話役）として関わる意向は4割にとどまり、担い手の確保が課題です。また、生きがいの内容を自由記述で尋ねたところ、回答256件のうち「孫」に関する記述が65件（25.4％）と突出しており、次いで農作業・旅行・仕事が挙げられています。通いの場への参加を促す施策だけでは届かない層が一定数あることを示しており、世代間交流や、農作業・就労の継続を生きがいとして支える視点が必要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生きがいがある55.3％（n=519）。両者には強い関連（χ²検定 p＜0.001、Cramér's V=0.570、n=506）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生きがいの内容（自由記述256件）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「孫」に関する記述が65件（25.4％）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農作業23件・旅行19件・仕事19件（記述に当該語を含むもの）</w:t>
            </w:r>
          </w:p>
        </w:tc>
      </w:tr>
    </w:tbl>
    <w:p>
      <w:pPr>
        <w:spacing w:after="80" w:before="180" w:line="300"/>
      </w:pPr>
      <w:r>
        <w:rPr>
          <w:rFonts w:ascii="游ゴシック" w:cs="游ゴシック" w:eastAsia="游ゴシック" w:hAnsi="游ゴシック"/>
          <w:b w:val="1"/>
          <w:bCs w:val="1"/>
          <w:i w:val="false"/>
          <w:iCs w:val="false"/>
          <w:sz w:val="21"/>
          <w:szCs w:val="21"/>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0"/>
          <w:szCs w:val="20"/>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n=547。知らない52.3％</w:t>
            </w:r>
          </w:p>
        </w:tc>
      </w:tr>
    </w:tbl>
    <w:p>
      <w:pPr>
        <w:spacing w:after="80" w:before="180" w:line="300"/>
      </w:pPr>
      <w:r>
        <w:rPr>
          <w:rFonts w:ascii="游ゴシック" w:cs="游ゴシック" w:eastAsia="游ゴシック" w:hAnsi="游ゴシック"/>
          <w:b w:val="1"/>
          <w:bCs w:val="1"/>
          <w:i w:val="false"/>
          <w:iCs w:val="false"/>
          <w:sz w:val="21"/>
          <w:szCs w:val="21"/>
        </w:rPr>
        <w:t>▌ 相談・支援体制（ニーズ調査）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家族・友人以外に相談できる相手が「いない」との回答は、世帯構成によって37.0％から43.5％の範囲にあり、統計的な有意差は認められませんでした（χ²検定 p=0.366）。相談窓口の不在は独居かどうかによらない共通の課題であり、対象を絞らない全戸的な周知が有効と考えられます。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1"/>
          <w:szCs w:val="21"/>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施設等への入所の申込みは、要介護度の重さよりも世帯の状況（単身かどうか・家族介護者がいるかどうか）と強く関連しています。家族・親族の介護が「ない」層では56.9％が申込済みであり、介護が「ある」層（13.5％）の4.2倍です。関連の強さ（Cramér's V）は家族介護の有無が0.460で最も大きく、サービス利用の有無0.361、世帯類型0.342、要介護度0.286と続きます。一方、割合のポイント差で比べると、単身世帯69.4％と「その他（子との同居等）」18.6％の50.8ポイント差が最大で、家族介護の有無の43.4ポイント差を上回ります。いずれの尺度でも、要介護度より世帯の状況の方が強く関連していま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うち本人が回答した票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13.9％（36件中5件）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回答者の68.1％は家族・親族。世帯としての検討状況であり本人の意思ではない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この層の56.9％が申込済み（介護が「ある」層は13.5％。V=0.460）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分類「その他（子との同居等）」の世帯18.6％の3.7倍。50.8ポイント差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両設問に有効回答があった138件が分母。この50件の64.0％が申込済み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n=76。第9期35.3％から＋6.8ポイント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施設入所の申込みは何によって分かれるか（在宅介護実態調査）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世帯類型と家族介護の有無は互いに関連していますが（単身世帯では家族介護が「ない」割合が66.7％）、一方を固定してももう一方による差が残ります。世帯類型ごとに家族介護の有無で分けると、いずれの世帯類型でも家族介護がない方が申込済みの割合が28.8〜41.6ポイント高くなります。逆に家族介護の有無を固定しても、単身世帯の方が「その他（子との同居等）」より33.0〜45.8ポイント高くなります。両者はそれぞれ独立に申込みと関連しており、最も高いのは「単身世帯かつ家族介護なし」の83.3％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04"/>
        <w:gridCol w:w="104"/>
        <w:gridCol w:w="88"/>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世帯類型</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家族介護なし</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家族介護あり</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単身世帯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83.3％（20／24件）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41.7％（5／12件）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41.6ポイント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夫婦のみ世帯</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47.1％（8／17件）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6.7％（1／15件）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その他（子との同居等）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37.5％（9／24件）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8.7％（4／46件）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28.8ポイント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差（単身−その他）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33.0ポイント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該当件数が10件未満の層を含みます（単身世帯・家族介護ありは12件、夫婦のみ世帯は17件と15件、その他・家族介護なしは24件）。件数を併記していますので、割合は幅をもってお読みください。施策の対象を絞る際は、地域包括支援センターの相談記録及びケアマネジャーの把握と突き合わせて確認します。</w:t>
      </w:r>
    </w:p>
    <w:p>
      <w:pPr>
        <w:spacing w:after="80" w:before="180" w:line="300"/>
      </w:pPr>
      <w:r>
        <w:rPr>
          <w:rFonts w:ascii="游ゴシック" w:cs="游ゴシック" w:eastAsia="游ゴシック" w:hAnsi="游ゴシック"/>
          <w:b w:val="1"/>
          <w:bCs w:val="1"/>
          <w:i w:val="false"/>
          <w:iCs w:val="false"/>
          <w:sz w:val="21"/>
          <w:szCs w:val="21"/>
        </w:rPr>
        <w:t xml:space="preserve">　▌ 第9期調査との比較（ニーズ調査・在宅介護実態調査）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策定時の調査と比較可能な指標は次のとおりです。第9期は無回答を基数に含めているのに対し本調査は無回答を分母から除いているため、基数を揃えて再計算しています。「（換算値）」を付した指標は、第9期の公表値を無回答を除いた基数に換算したうえで比較したものです。主な介護者の70歳以上が6.8ポイント、働きながらの介護継続が「難しい」が8.4ポイント上昇しており、介護者の高齢化と就労世代の両立困難が同時に進んで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80"/>
        <w:gridCol w:w="80"/>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今回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主な介護者の70歳以上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＋6.8ポイント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働きながらの介護継続が「難しい」計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治療中の病気：高血圧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治療中の病気：筋骨格の病気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18.0％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介護が必要になった理由：骨折・転倒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14.3％（換算値）</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介護・介助が必要だが受けていない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閉じこもりリスク（外出が週1回以下）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▲3.5ポイント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低栄養リスク（第9期の定義＝BMI18.5未満）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▲1.0ポイント</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の在宅介護実態調査は要介護1〜5の認定者を対象としていたのに対し、今回は要支援を含むため、対象者の構成が異なります【町確認】。第9期で用いていた7つの合成リスク指標（運動器機能・転倒・閉じこもり・低栄養・咀嚼機能低下・認知症・IADL）は、次期以降の経年比較のため第10期から算出を継続します。</w:t>
      </w:r>
    </w:p>
    <w:p>
      <w:pPr>
        <w:spacing w:after="80" w:before="180" w:line="300"/>
      </w:pPr>
      <w:r>
        <w:rPr>
          <w:rFonts w:ascii="游ゴシック" w:cs="游ゴシック" w:eastAsia="游ゴシック" w:hAnsi="游ゴシック"/>
          <w:b w:val="1"/>
          <w:bCs w:val="1"/>
          <w:i w:val="false"/>
          <w:iCs w:val="false"/>
          <w:sz w:val="21"/>
          <w:szCs w:val="21"/>
        </w:rPr>
        <w:t xml:space="preserve">　▌ 体格（BMI）と低栄養リスク（ニーズ調査）</w:t>
      </w:r>
    </w:p>
    <w:p>
      <w:pPr>
        <w:spacing w:after="80" w:before="50" w:line="320"/>
        <w:ind w:firstLine="200"/>
        <w:jc w:val="left"/>
      </w:pPr>
      <w:r>
        <w:rPr>
          <w:rFonts w:ascii="游ゴシック" w:cs="游ゴシック" w:eastAsia="游ゴシック" w:hAnsi="游ゴシック"/>
          <w:i w:val="false"/>
          <w:iCs w:val="false"/>
          <w:sz w:val="20"/>
          <w:szCs w:val="20"/>
        </w:rPr>
        <w:t xml:space="preserve">ニーズ調査の個票には回答者の属性が記録されていないため、身長・体重の回答から算出した体格（BMI）区分を属性に代わる分析軸として用いました。肥満層では高血圧が66.0％（n=141）と標準層（50.2％・n=325）を大きく上回っており、特定健診・保健指導の対象を客観的に絞り込む手がかりとなります。低栄養リスクに該当する方は4人（0.7％・n=576）と少数ですが、母数が小さいからこそ地域包括支援センター等による個別のフォローアップが可能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66"/>
        <w:gridCol w:w="144"/>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割合（n=576）</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やせ（BMI18.5未満）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5.0％（29人）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この層は転倒への不安が「とても」21.4％と相対的に高い（n=28）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標準（18.5以上25未満）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62.0％（357人）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高血圧50.2％（n=325）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肥満（25以上）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25.5％（147人）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高血圧66.0％・高脂血症20.6％と生活習慣病の割合が高い（n=141）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不明（身長又は体重が無回答）</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7.5％（43人）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低栄養リスク該当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0.7％（4人）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BMI18.5未満かつ6か月で2〜3kg以上の体重減少。第9期の定義では5.0％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表の割合のみ、有効票576件を分母としています（「不明」を1区分として掲げているため）。身長・体重の双方に回答があった533人を分母とした場合はやせ5.4％・標準67.0％・肥満27.6％となります。低栄養リスクの判定は、介護予防の基本チェックリストにおける栄養状態の考え方（低体重＋体重減少）を踏まえた簡易的なもので、医学的な診断ではありません。</w:t>
      </w:r>
    </w:p>
    <w:p>
      <w:pPr>
        <w:spacing w:after="80" w:before="180" w:line="300"/>
      </w:pPr>
      <w:r>
        <w:rPr>
          <w:rFonts w:ascii="游ゴシック" w:cs="游ゴシック" w:eastAsia="游ゴシック" w:hAnsi="游ゴシック"/>
          <w:b w:val="1"/>
          <w:bCs w:val="1"/>
          <w:i w:val="false"/>
          <w:iCs w:val="false"/>
          <w:sz w:val="21"/>
          <w:szCs w:val="21"/>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xml:space="preserve">● 在宅の要介護者では、施設入所の申込みは要介護度よりも世帯の状況（単身かどうか・家族介護者がいるかどうか）と強く関連している。最も高いのは「単身世帯かつ家族介護なし」で、24件中20件（83.3％）が申込済みである。</w:t>
      </w:r>
    </w:p>
    <w:p>
      <w:pPr>
        <w:spacing w:after="100" w:before="200" w:line="320"/>
      </w:pPr>
      <w:r>
        <w:rPr>
          <w:rFonts w:ascii="游ゴシック" w:cs="游ゴシック" w:eastAsia="游ゴシック" w:hAnsi="游ゴシック"/>
          <w:b w:val="1"/>
          <w:bCs w:val="1"/>
          <w:i w:val="false"/>
          <w:iCs w:val="false"/>
          <w:sz w:val="26"/>
          <w:szCs w:val="26"/>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0"/>
          <w:szCs w:val="20"/>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町域の特性</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1"/>
          <w:szCs w:val="21"/>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本節に掲載する供給側のデータは次のとおり整理します。現時点では町からのご提供及び事業所ヒアリングを待つ項目が多く、事業所ヒアリング（確認事項No.29・No.50・No.51）の結果を受けて確定します。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No.12</w:t>
            </w:r>
          </w:p>
        </w:tc>
      </w:tr>
    </w:tbl>
    <w:p>
      <w:pPr>
        <w:spacing w:after="80" w:before="180" w:line="300"/>
      </w:pPr>
      <w:r>
        <w:rPr>
          <w:rFonts w:ascii="游ゴシック" w:cs="游ゴシック" w:eastAsia="游ゴシック" w:hAnsi="游ゴシック"/>
          <w:b w:val="1"/>
          <w:bCs w:val="1"/>
          <w:i w:val="false"/>
          <w:iCs w:val="false"/>
          <w:sz w:val="21"/>
          <w:szCs w:val="21"/>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加算の取得や事業の継続に影響する</w:t>
            </w:r>
          </w:p>
        </w:tc>
      </w:tr>
    </w:tbl>
    <w:p>
      <w:pPr>
        <w:spacing w:after="80" w:before="80" w:line="280"/>
        <w:ind w:left="288"/>
      </w:pPr>
      <w:r>
        <w:rPr>
          <w:rFonts w:ascii="游ゴシック" w:cs="游ゴシック" w:eastAsia="游ゴシック" w:hAnsi="游ゴシック"/>
          <w:i/>
          <w:iCs/>
          <w:sz w:val="20"/>
          <w:szCs w:val="20"/>
        </w:rPr>
        <w:t xml:space="preserve">⚠ 本節の数値は、第1回策定委員会での委員のご発言に基づくものです。事業所ヒアリング（令和8年9〜10月・確認事項No.50・No.51）により事実関係を確認のうえ確定します。確認が取れない数値及び特定の事業所が識別され得る数値は、計画書（案）には掲載しません。</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3 章</w:t>
      </w:r>
    </w:p>
    <w:p>
      <w:pPr>
        <w:spacing w:after="140" w:before="0" w:line="320"/>
      </w:pPr>
      <w:r>
        <w:rPr>
          <w:rFonts w:ascii="游ゴシック" w:cs="游ゴシック" w:eastAsia="游ゴシック" w:hAnsi="游ゴシック"/>
          <w:b w:val="1"/>
          <w:bCs w:val="1"/>
          <w:i w:val="false"/>
          <w:iCs w:val="false"/>
          <w:sz w:val="20"/>
          <w:szCs w:val="2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3-1　第9期計画の体系</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1"/>
          <w:szCs w:val="21"/>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0"/>
          <w:szCs w:val="20"/>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0"/>
          <w:szCs w:val="20"/>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0"/>
          <w:szCs w:val="20"/>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0"/>
          <w:szCs w:val="20"/>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0"/>
          <w:szCs w:val="20"/>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0"/>
          <w:szCs w:val="20"/>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6"/>
          <w:szCs w:val="26"/>
        </w:rPr>
        <w:t>3-2　主要施策の取組実績</w:t>
      </w:r>
    </w:p>
    <w:p>
      <w:pPr>
        <w:spacing w:after="80" w:before="50" w:line="320"/>
        <w:ind w:firstLine="200"/>
        <w:jc w:val="left"/>
      </w:pPr>
      <w:r>
        <w:rPr>
          <w:rFonts w:ascii="游ゴシック" w:cs="游ゴシック" w:eastAsia="游ゴシック" w:hAnsi="游ゴシック"/>
          <w:i w:val="false"/>
          <w:iCs w:val="false"/>
          <w:sz w:val="20"/>
          <w:szCs w:val="20"/>
        </w:rPr>
        <w:t xml:space="preserve">本節では、第9期計画期間中（令和6〜8年度）に川崎町が実施した主要施策の取組実績を、第4章で示す第10期計画の6つの基本目標の体系に沿って整理します（第9期の基本方針との対応は4-2の表を参照）。給付・地域支援事業の数値実績は、介護保険事業状況報告（年報・令和7年度）により令和7年度の確定値を掲載しています。各事業の実施回数・対象者数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第9期取組実績のうち給付・地域支援事業費は令和7年度の年報により確定。事業の実施回数等は別添『川崎町_第9期実績一覧_町記入用.xlsx』との連動で管理する。</w:t>
      </w:r>
    </w:p>
    <w:p>
      <w:pPr>
        <w:spacing w:after="80" w:before="180" w:line="300"/>
      </w:pPr>
      <w:r>
        <w:rPr>
          <w:rFonts w:ascii="游ゴシック" w:cs="游ゴシック" w:eastAsia="游ゴシック" w:hAnsi="游ゴシック"/>
          <w:b w:val="1"/>
          <w:bCs w:val="1"/>
          <w:i w:val="false"/>
          <w:iCs w:val="false"/>
          <w:sz w:val="21"/>
          <w:szCs w:val="21"/>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0"/>
          <w:szCs w:val="20"/>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ユニバーサルサポーター制度の質的向上、後期高齢者（令和7年度末1,742人・4年で15.4％増）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1"/>
          <w:szCs w:val="21"/>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0"/>
          <w:szCs w:val="20"/>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令和7年度給付費 25,761千円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サービス利用者134.3人（令和7年度の月平均）のうち85.9％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1"/>
          <w:szCs w:val="21"/>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0"/>
          <w:szCs w:val="20"/>
        </w:rPr>
        <w:t xml:space="preserve">町内介護サービスの質の確保、町外施設利用を含めた供給体制の整備、深刻化する介護人材不足への対応を進めました。特に住所地特例24人（令和8年3月末）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特養（67.8人）・老健（66.6人）受給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令和7年度の月平均。介護療養型・介護医療院は0人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月平均134.3人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24人（令和8年3月末）。町内施設縮小に伴い町外依存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R8.3＝24人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1"/>
          <w:szCs w:val="21"/>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令和7年度実績：36,609千円（総合事業7,898＋包括的支援・任意事業28,327＋社会保障充実分385千円）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R7＝3,661万円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1"/>
          <w:szCs w:val="21"/>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累計642名養成（令和7年度見込）。年間受講者は4〜23人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R6=620名／R7=642名累計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累計80名養成（令和7年度見込）。サポーター養成講座の講師役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R6=79名／R7=80名累計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認知症の人と家族の交流・相談の場。令和5年度から年47回</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R6=47回・延235人／R7見込=同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もの忘れ相談 年12回。初期集中支援チームの訪問件数は減少傾向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 R6=16件／R7見込=12件</w:t>
              <w:br/>
              <w:t xml:space="preserve">訪問 R6=42件／R7見込=12件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整備済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令和6年度に整備。第10期は活動の充実とチーム数の拡大［要確認］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R6=整備／R7見込=整備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への課題：認知症基本法対応として、（1）チームオレンジの活動の充実とチーム数の拡大（令和8年9月1日提供の実績データでは令和6年度から「整備」とされており、整備済みを前提に活動の段階へ進みます［要確認］）、（2）認知症本人ミーティングの新規実施、（3）本人・家族の意見聴取（認知症基本法第13条第3項の手続。地域包括支援センター・国保川崎病院経由）、（4）認知症地域支援推進員の配置（令和5年度以降0人となっており、配置状況を確認中［要確認］）、（5）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1"/>
          <w:szCs w:val="21"/>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A（基本法対応・最重要）</w:t>
            </w:r>
          </w:p>
        </w:tc>
      </w:tr>
    </w:tbl>
    <w:p>
      <w:pPr>
        <w:spacing w:after="80" w:before="80" w:line="280"/>
        <w:ind w:left="288"/>
      </w:pPr>
      <w:r>
        <w:rPr>
          <w:rFonts w:ascii="游ゴシック" w:cs="游ゴシック" w:eastAsia="游ゴシック" w:hAnsi="游ゴシック"/>
          <w:i/>
          <w:iCs/>
          <w:sz w:val="20"/>
          <w:szCs w:val="20"/>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6"/>
          <w:szCs w:val="26"/>
        </w:rPr>
        <w:t>3-3　評価指標の達成状況</w:t>
      </w:r>
    </w:p>
    <w:p>
      <w:pPr>
        <w:spacing w:after="80" w:before="80" w:line="280"/>
        <w:ind w:left="288"/>
      </w:pPr>
      <w:r>
        <w:rPr>
          <w:rFonts w:ascii="游ゴシック" w:cs="游ゴシック" w:eastAsia="游ゴシック" w:hAnsi="游ゴシック"/>
          <w:i/>
          <w:iCs/>
          <w:sz w:val="20"/>
          <w:szCs w:val="20"/>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対象は各年度とも全国1,741保険者です。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認知症総合支援は77点で全国79位、努力支援交付金の合計は276点で全国165位である一方、推進交付金の合計は252点で全国637位、とりわけ目標Ⅰ（持続可能な地域のあるべき姿をかたちにする）は57点で全国1,136位、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県内の状況との対比</w:t>
      </w:r>
    </w:p>
    <w:p>
      <w:pPr>
        <w:spacing w:after="80" w:before="50" w:line="320"/>
        <w:ind w:firstLine="200"/>
        <w:jc w:val="left"/>
      </w:pPr>
      <w:r>
        <w:rPr>
          <w:rFonts w:ascii="游ゴシック" w:cs="游ゴシック" w:eastAsia="游ゴシック" w:hAnsi="游ゴシック"/>
          <w:i w:val="false"/>
          <w:iCs w:val="false"/>
          <w:sz w:val="20"/>
          <w:szCs w:val="20"/>
        </w:rPr>
        <w:t xml:space="preserve">同じ期間に、宮城県内35保険者の市町村平均が令和7年度418.9点から令和8年度497.5点へ、1年で78.6点上がっています（全国平均の上昇は20.1点）。本町の県内順位が3位から8位へ下がったのは、本町が37点下げたことに加え、県内が急に上がったことによるものです。県平均との差は146.1ポイントから30.5ポイントへ縮まり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8"/>
        <w:gridCol w:w="88"/>
        <w:gridCol w:w="88"/>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令和6年度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令和8年度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　得点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565点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528点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全国順位（1,741保険者）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696位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114位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県内順位（35保険者）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422.4点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435.0点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455.1点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宮城県内の市町村平均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379.7点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418.9点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497.5点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県平均との差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＋74.3点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＋146.1点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宮城県自身の評価（都道府県分）も、令和7年度529点・全国22位から令和8年度587点・全国6位へ上昇しています。宮城県は目標Ⅰ（ⅱ）5「伴走支援の実施回数」で8点満点（全国上位1割）を得ており、管内市町村への伴走支援の体制と実績を持っています。本町の得点向上は県の得点にもなるため、第10章の進行管理に県との協議を位置付けます。なお、目標Ⅰ（ⅰ）2のオ「管内に著しく得点の低い市町村がない」の閾値は279.7点（得点率の平均から標準偏差の2倍を差し引いた数）で、全国1,741保険者のうち55保険者が下回りますが、本町528点は該当しません。</w:t>
      </w:r>
    </w:p>
    <w:p>
      <w:pPr>
        <w:spacing w:after="80" w:before="180" w:line="300"/>
      </w:pPr>
      <w:r>
        <w:rPr>
          <w:rFonts w:ascii="游ゴシック" w:cs="游ゴシック" w:eastAsia="游ゴシック" w:hAnsi="游ゴシック"/>
          <w:b w:val="1"/>
          <w:bCs w:val="1"/>
          <w:i w:val="false"/>
          <w:iCs w:val="false"/>
          <w:sz w:val="21"/>
          <w:szCs w:val="21"/>
        </w:rPr>
        <w:t xml:space="preserve">　▌ 失点の内訳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指標は9つ、配点の合計は136点です。このうち「生活支援コーディネーターの地域ケア会議への参加割合」は、生活支援コーディネーター25名の配置数が4点満点で県内1位である一方、会議への参加が0点となっているもので、運用で手当てできます。「介護の仕事の魅力に関する研修」「介護人材の定着・資質向上に関する研修」は合わせて24点で、第7章の介護人材の確保と直結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208"/>
        <w:gridCol w:w="48"/>
        <w:gridCol w:w="80"/>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交付金・目標</w:t>
            </w:r>
          </w:p>
        </w:tc>
        <w:tc>
          <w:tcPr>
            <w:tcW w:type="dxa" w:w="2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0点となった指標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推進Ⅳ／支援Ⅳ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評価結果の活用（令和7年度は満点16点）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34位／35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人生の最終段階における支援の実施状況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後期高齢者と給付費の伸び率比較（令和7年度は3点）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PFS（成果連動型民間委託契約）委託事業数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介護の仕事の魅力に関する研修の実施状況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介護人材の定着・資質向上に関する研修の実施状況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支援Ⅱ</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県内1位の指標は23項目（うち20項目が満点）あります。介護予防・生活支援の体制整備、在宅医療・介護連携の課題検討と具体的取組、介護人材の確保・定着の取組と庁内外の連携体制、給付費適正化方策の策定、認知症の早期診断・早期対応の体制構築、難聴高齢者の早期発見・早期介入などです。体制は県内でほぼ最上位であり、弱いのは活動量と成果、及び保険者としての自己評価の仕組みです。</w:t>
      </w:r>
    </w:p>
    <w:p>
      <w:pPr>
        <w:spacing w:after="80" w:before="180" w:line="300"/>
      </w:pPr>
      <w:r>
        <w:rPr>
          <w:rFonts w:ascii="游ゴシック" w:cs="游ゴシック" w:eastAsia="游ゴシック" w:hAnsi="游ゴシック"/>
          <w:b w:val="1"/>
          <w:bCs w:val="1"/>
          <w:i w:val="false"/>
          <w:iCs w:val="false"/>
          <w:sz w:val="21"/>
          <w:szCs w:val="21"/>
        </w:rPr>
        <w:t xml:space="preserve">　▌ アウトカム指標の内訳</w:t>
      </w:r>
    </w:p>
    <w:p>
      <w:pPr>
        <w:spacing w:after="80" w:before="50" w:line="320"/>
        <w:ind w:firstLine="200"/>
        <w:jc w:val="left"/>
      </w:pPr>
      <w:r>
        <w:rPr>
          <w:rFonts w:ascii="游ゴシック" w:cs="游ゴシック" w:eastAsia="游ゴシック" w:hAnsi="游ゴシック"/>
          <w:i w:val="false"/>
          <w:iCs w:val="false"/>
          <w:sz w:val="20"/>
          <w:szCs w:val="20"/>
        </w:rPr>
        <w:t xml:space="preserve">アウトカム指標（配点100点・本町40点・県内28位）の内訳は次のとおりです。3年間の長期的な変化では県内8位・10位と上位にある一方、直近の短期的な変化は県内31位・24位と下位です。以前は改善していたものが直近で落ちていることを示唆しており、第9期の主要施策の効果を確認する必要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48"/>
        <w:gridCol w:w="56"/>
        <w:gridCol w:w="12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アウトカム指標</w:t>
            </w:r>
          </w:p>
        </w:tc>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宮城県平均（県内順位）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10.7（31位）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長期的な要介護度の変化（要介護１・２）</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7.0（10位）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11.4（24位）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長期的な要介護度の変化（要介護３〜５）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13.1（8位）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健康寿命延伸の状況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11.1（16位）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短期的な要介護度の変化」は直近1年、「長期的な要介護度の変化」は3年の変化を評価する指標です。要介護認定は全国一律の基準により行われるべきものであり、交付金の評価を考慮して認定を行うことは不適切であることに留意します。</w:t>
      </w:r>
    </w:p>
    <w:p>
      <w:pPr>
        <w:spacing w:after="80" w:before="180" w:line="300"/>
      </w:pPr>
      <w:r>
        <w:rPr>
          <w:rFonts w:ascii="游ゴシック" w:cs="游ゴシック" w:eastAsia="游ゴシック" w:hAnsi="游ゴシック"/>
          <w:b w:val="1"/>
          <w:bCs w:val="1"/>
          <w:i w:val="false"/>
          <w:iCs w:val="false"/>
          <w:sz w:val="21"/>
          <w:szCs w:val="21"/>
        </w:rPr>
        <w:t xml:space="preserve">　▌ 規模と条件を揃えた比較</w:t>
      </w:r>
    </w:p>
    <w:p>
      <w:pPr>
        <w:spacing w:after="80" w:before="50" w:line="320"/>
        <w:ind w:firstLine="200"/>
        <w:jc w:val="left"/>
      </w:pPr>
      <w:r>
        <w:rPr>
          <w:rFonts w:ascii="游ゴシック" w:cs="游ゴシック" w:eastAsia="游ゴシック" w:hAnsi="游ゴシック"/>
          <w:i w:val="false"/>
          <w:iCs w:val="false"/>
          <w:sz w:val="20"/>
          <w:szCs w:val="20"/>
        </w:rPr>
        <w:t xml:space="preserve">交付金の得点は団体の規模と強く相関しています。第1号被保険者数が3千人未満の団体の平均は407.6点、10万人以上の団体の平均は527.8点で、120.2点の差があります。また、過疎地域に該当する885保険者の平均437.4点は、非該当855保険者の平均473.5点を36.1点下回ります。本町と同じ規模区分（3千〜1万人未満）かつ過疎地域該当の285保険者で比べると、本町は47位（上位16.5％）で、平均を85.6点上回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
        <w:gridCol w:w="64"/>
        <w:gridCol w:w="96"/>
        <w:gridCol w:w="80"/>
      </w:tblGrid>
      <w:tr>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比較の軸</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川崎町の順位</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平均との差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1,741保険者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366位（上位21.0％）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＋72.9点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同規模（第1号被保険者3千〜1万人未満）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90位（上位16.8％）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＋79.2点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同規模かつ過疎地域該当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285保険者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47位（上位16.5％）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＋85.6点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35保険者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8位（上位22.9％）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＋30.5点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全国順位だけでは、規模と過疎地域という本町が変えられない条件による差が、取組の差として受け取られるおそれがあります。一方で同規模の順位だけを示すと実態を甘く見ることになりますので、本計画では両方を併記します。</w:t>
      </w:r>
    </w:p>
    <w:p>
      <w:pPr>
        <w:spacing w:after="80" w:before="180" w:line="300"/>
      </w:pPr>
      <w:r>
        <w:rPr>
          <w:rFonts w:ascii="游ゴシック" w:cs="游ゴシック" w:eastAsia="游ゴシック" w:hAnsi="游ゴシック"/>
          <w:b w:val="1"/>
          <w:bCs w:val="1"/>
          <w:i w:val="false"/>
          <w:iCs w:val="false"/>
          <w:sz w:val="21"/>
          <w:szCs w:val="21"/>
        </w:rPr>
        <w:t xml:space="preserve">　▌ 規模区分・過疎地域該当ごとの平均（参考）</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令和8年度の市町村分（推進・支援合計800点満点）の分布は次のとおりです。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6"/>
        <w:gridCol w:w="64"/>
        <w:gridCol w:w="80"/>
        <w:gridCol w:w="80"/>
      </w:tblGrid>
      <w:tr>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規模区分（第1号被保険者数）</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保険者数</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平均</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中央値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区分1　3千人未満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407.6点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408.0点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区分2　3千〜1万人未満（川崎町）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448.8点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456.0点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区分3　1万〜5万人未満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488.0点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区分4　5万〜10万人未満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508.0点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517.0点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区分5　10万人以上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527.8点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535.5点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437.4点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445.0点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過疎地域非該当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473.5点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485.0点</w:t>
            </w:r>
          </w:p>
        </w:tc>
      </w:tr>
    </w:tbl>
    <w:p>
      <w:pPr>
        <w:spacing w:after="80" w:before="180" w:line="300"/>
      </w:pPr>
      <w:r>
        <w:rPr>
          <w:rFonts w:ascii="游ゴシック" w:cs="游ゴシック" w:eastAsia="游ゴシック" w:hAnsi="游ゴシック"/>
          <w:b w:val="1"/>
          <w:bCs w:val="1"/>
          <w:i w:val="false"/>
          <w:iCs w:val="false"/>
          <w:sz w:val="21"/>
          <w:szCs w:val="21"/>
        </w:rPr>
        <w:t xml:space="preserve">　▌ 3年間で変わらない強みと、一度も取れていない指標</w:t>
      </w:r>
    </w:p>
    <w:p>
      <w:pPr>
        <w:spacing w:after="80" w:before="50" w:line="320"/>
        <w:ind w:firstLine="200"/>
        <w:jc w:val="left"/>
      </w:pPr>
      <w:r>
        <w:rPr>
          <w:rFonts w:ascii="游ゴシック" w:cs="游ゴシック" w:eastAsia="游ゴシック" w:hAnsi="游ゴシック"/>
          <w:i w:val="false"/>
          <w:iCs w:val="false"/>
          <w:sz w:val="20"/>
          <w:szCs w:val="20"/>
        </w:rPr>
        <w:t xml:space="preserve">令和6年度から令和8年度までの3か年で、本町が満点を続けている指標は15項目・計241点あります。体制・取組指標が中心で、いずれも全国平均を大きく上回ります。とりわけ「難聴高齢者の早期発見・早期介入」は、令和7年度に指標が新設された初年度から2年連続で20点満点であり（全国平均は令和7年度4.5点・令和8年度6.9点）、制度ができる前から本町が取り組んでいたことを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4"/>
        <w:gridCol w:w="36"/>
        <w:gridCol w:w="90"/>
      </w:tblGrid>
      <w:tr>
        <w:tc>
          <w:tcPr>
            <w:tcW w:type="dxa" w:w="17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3年連続で満点の指標（15項目・計241点）</w:t>
            </w:r>
          </w:p>
        </w:tc>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全国平均（R8）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庁内・庁外における連携体制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給付費適正化方策の策定状況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介護人材の確保・定着の取組状況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在宅医療・介護連携の具体的取組状況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医療・介護関係者間の情報共有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認知症の早期診断・早期対応の体制構築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地域の介護保険事業の特徴／事業計画の進捗状況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14.9／13.3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アウトリーチ等の取組状況／介護予防・生活支援の体制整備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介護予防等と保健事業の一体的実施／通いの場参加者の健康状態の把握・分析／地域リハビリテーションの推進／多様なサービスの活用推進</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各7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データを活用した課題の把握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一方、3か年とも0点の指標が6項目・計68点あります。人生の最終段階における支援の実施状況（16点）、PFS委託事業数・介護の仕事の魅力に関する研修・介護人材の定着・資質向上に関する研修・認知症サポーター数（各12点）、生活支援コーディネーターの地域ケア会議への参加割合（4点）です。また、ケアプラン点検の実施状況は令和6年度8点から令和7・8年度は4点に下がり、全国平均6.4点を下回っています。</w:t>
      </w:r>
    </w:p>
    <w:p>
      <w:pPr>
        <w:spacing w:after="80" w:before="180" w:line="300"/>
      </w:pPr>
      <w:r>
        <w:rPr>
          <w:rFonts w:ascii="游ゴシック" w:cs="游ゴシック" w:eastAsia="游ゴシック" w:hAnsi="游ゴシック"/>
          <w:b w:val="1"/>
          <w:bCs w:val="1"/>
          <w:i w:val="false"/>
          <w:iCs w:val="false"/>
          <w:sz w:val="21"/>
          <w:szCs w:val="21"/>
        </w:rPr>
        <w:t xml:space="preserve">　▌ 失点を取り戻す順序</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に0点であった9指標について、同規模かつ過疎地域該当の285保険者のうちどれだけが満点を取っているかを数え、取りに行く順序を定めました。配点の大きさではなく、同規模の団体が現に取れているかどうかで順位を付け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
        <w:gridCol w:w="102"/>
        <w:gridCol w:w="177"/>
      </w:tblGrid>
      <w:tr>
        <w:tc>
          <w:tcPr>
            <w:tcW w:type="dxa" w:w="2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優先</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0点の指標（配点）</w:t>
            </w:r>
          </w:p>
        </w:tc>
        <w:tc>
          <w:tcPr>
            <w:tcW w:type="dxa" w:w="1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当面の方針（同規模285団体で満点を取っている数）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評価結果の活用（16点）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令和7年度は満点であった。仕組みを戻す（8-3・8-4）。同規模で満点110件（38.6％）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配置数は満点。会議への出席を運用で確保する。同規模で満点161件（56.5％）で最も取りやすい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段階的に取りに行く（第6章）。同規模で満点32件（11.2％）・一部取得167件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後期高齢者と給付費の伸び率比較（12点）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給付費の伸びの管理と一体で（8-3）。同規模で満点15件（5.3％）・一部取得180件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短期的な要介護度の変化（要介護１・２）（40点）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満点は同規模に1件もない。一部取得（233件・81.8％）を目標とする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介護の仕事の魅力／定着・資質向上に関する研修（各12点）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第2回策定委員会の選択4のご判断による。同規模で満点15件／9件（3〜5％）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人生の最終段階における支援の実施状況（16点）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同規模平均3.6点で全国平均6.4点を下回る。ACPの実施記録を残す運用から始める。同規模で満点3件（1.1％）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PFS（成果連動型民間委託契約）委託事業数（12点）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第10期では追わない。同規模で満点1件（0.4％）・269件が0点</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PFS（成果連動型民間委託契約）委託事業数は、同規模285団体のうち満点が1件のみ・269件が0点で、全国平均も0.3点です。配点12点を追うより他に手を入れるべきであり、第10期計画には位置付けません。また「短期的な要介護度の変化」は同規模で満点が1件もない指標です。要介護認定は全国一律の基準により行われるべきものであり、交付金の評価を考慮して認定を行うことは不適切であることに留意しつつ、一部取得を目標とします。この順序は第8章8-3・8-4及び第10章10-4のKPI管理表に組み込みます。</w:t>
      </w:r>
    </w:p>
    <w:p>
      <w:pPr>
        <w:spacing w:after="80" w:before="180" w:line="300"/>
      </w:pPr>
      <w:r>
        <w:rPr>
          <w:rFonts w:ascii="游ゴシック" w:cs="游ゴシック" w:eastAsia="游ゴシック" w:hAnsi="游ゴシック"/>
          <w:b w:val="1"/>
          <w:bCs w:val="1"/>
          <w:i w:val="false"/>
          <w:iCs w:val="false"/>
          <w:sz w:val="21"/>
          <w:szCs w:val="21"/>
        </w:rPr>
        <w:t xml:space="preserve">　▌ 3つの指標群でみた本町の位置</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令和8年度の800点は、体制・取組指標群（380点）、活動指標群（220点）、成果指標群（200点）の3つで構成されています。本町の得点をこの3つに分けると、はっきりとした傾斜があります。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80"/>
        <w:gridCol w:w="112"/>
        <w:gridCol w:w="88"/>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指標群（満点）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全国1,741保険者</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同規模かつ過疎285保険者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体制・取組指標群（380点）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353点（92.9％）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166位／平均276.3点（72.7％）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活動指標群（220点）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95点（43.2％）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514位／平均83.3点（37.9％）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69位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成果指標群（200点）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80点（40.0％）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1,087位／平均95.5点（47.8％）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176位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合計（800点）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528点（66.0％）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366位／平均455.1点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47位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体制・取組指標群は全国上位9.5％、活動指標群は上位29.5％である一方、成果指標群は全国平均を15.5点下回り下位37.6％にとどまります。仕組みは整っているが、活動量と成果が伴っていないという形であり、3-4の課題⑪（取組と成果の接続）と一致します。なお体制・取組指標群が380点満点である保険者は、全国1,741保険者のうち6団体のみです。</w:t>
      </w:r>
    </w:p>
    <w:p>
      <w:pPr>
        <w:spacing w:after="80" w:before="180" w:line="300"/>
      </w:pPr>
      <w:r>
        <w:rPr>
          <w:rFonts w:ascii="游ゴシック" w:cs="游ゴシック" w:eastAsia="游ゴシック" w:hAnsi="游ゴシック"/>
          <w:b w:val="1"/>
          <w:bCs w:val="1"/>
          <w:i w:val="false"/>
          <w:iCs w:val="false"/>
          <w:sz w:val="21"/>
          <w:szCs w:val="21"/>
        </w:rPr>
        <w:t xml:space="preserve">　▌ 体制・取組指標群の失点は3か所・27点</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失点272点のうち、体制・取組指標群の失点は27点にとどまります。その27点は次の3か所だけであり、いずれも新たな事業も予算も要さず、仕組みを定めて本計画に書くことで得点できます。失点の額としては小さいものの、取り戻せる確実性は最も高い部分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24"/>
        <w:gridCol w:w="80"/>
        <w:gridCol w:w="192"/>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失点した枝番</w:t>
            </w:r>
          </w:p>
        </w:tc>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配点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全国の得点率</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要件と本計画での手当て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目標Ⅰ（ⅰ）4　評価結果の活用　ア〜エ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ア83.1％／イ64.4％／ウ70.0％／エ50.3％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交付金の評価結果を庁内の関係各課で共有する場を年1回以上設ける。イ＝その場に庁外の関係者が参画する（策定委員会・地域ケア会議に議題を追加すれば足りる）。ウ＝その場の意見を施策の改善に活用する（一部の事業でよい）。エ＝直近年度の評価結果を小項目レベルの得点獲得状況まで公表する。→ 第8章8-4に手順を定める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 目標Ⅱ（ⅰ）2　給付費適正化事業の取組状況　ア（3事業の全てを実施）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96.9％（宮城県内91.4％）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要介護認定の適正化・ケアプラン等の点検・縦覧点検・医療情報との突合の3事業をすべて実施していることが要件。同じ項目のイ〜オ30点は満点であり、3事業のうち欠けているものを特定すれば足りる。→ 第8章8-2に位置付ける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支援 目標Ⅱ（ⅰ）1　カ　認知症の人及び家族等の意見を踏まえた市町村認知症施策推進計画の策定に着手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42.8％（同規模かつ過疎30.9％）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認知症の人と家族等が参画し意見を反映させる仕組みを整えたうえで策定に着手していることが要件。同じ項目のア〜オ20点は満点。→ 第6章6-1の策定手続がそのまま要件となる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このうち後の2件は、項目の単位でみると得点しているため（給付費適正化事業の取組状況は36点中30点、認知症サポーター等を活用した地域支援体制の構築は25点中20点）、本素案Ver.1.22・Ver.1.23の「0点となった9指標」には含まれていませんでした。枝番の単位まで下ろして評価指標の本文と突き合わせたことにより、新たに把握した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の取組状況」のアは、全国1,741保険者の96.9％が得点している項目です。本町が0点であるのは、3事業（要介護認定の適正化／ケアプラン等の点検／縦覧点検・医療情報との突合）のいずれかを実施していないか、実施していても該当状況調査で「実施」と回答していないかのいずれかです。同じ項目のイ〜オで30点を満点で得ているため、実施状況をご確認いただきます（確認事項No.127）。</w:t>
      </w:r>
    </w:p>
    <w:p>
      <w:pPr>
        <w:spacing w:after="80" w:before="50" w:line="320"/>
        <w:ind w:firstLine="200"/>
        <w:jc w:val="left"/>
      </w:pPr>
      <w:r>
        <w:rPr>
          <w:rFonts w:ascii="游ゴシック" w:cs="游ゴシック" w:eastAsia="游ゴシック" w:hAnsi="游ゴシック"/>
          <w:i w:val="false"/>
          <w:iCs w:val="false"/>
          <w:sz w:val="20"/>
          <w:szCs w:val="20"/>
        </w:rPr>
        <w:t xml:space="preserve">⚠ 「評価結果の活用」の16点は令和6・7年度に満点であり、令和8年度に4つの枝番がそろって0点になりました。ア（庁内で共有する場がある）から0点であることから、場そのものが設けられなかったものと考えられます。第2回策定委員会で交付金の評価結果をご報告することは、そのまま要件イ（庁外の関係者の参画）を満た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180" w:line="300"/>
      </w:pPr>
      <w:r>
        <w:rPr>
          <w:rFonts w:ascii="游ゴシック" w:cs="游ゴシック" w:eastAsia="游ゴシック" w:hAnsi="游ゴシック"/>
          <w:b w:val="1"/>
          <w:bCs w:val="1"/>
          <w:i w:val="false"/>
          <w:iCs w:val="false"/>
          <w:sz w:val="21"/>
          <w:szCs w:val="21"/>
        </w:rPr>
        <w:t xml:space="preserve">　▌ 成果指向型配分枠（配点100点）</w:t>
      </w:r>
    </w:p>
    <w:p>
      <w:pPr>
        <w:spacing w:after="80" w:before="50" w:line="320"/>
        <w:ind w:firstLine="200"/>
        <w:jc w:val="left"/>
      </w:pPr>
      <w:r>
        <w:rPr>
          <w:rFonts w:ascii="游ゴシック" w:cs="游ゴシック" w:eastAsia="游ゴシック" w:hAnsi="游ゴシック"/>
          <w:i w:val="false"/>
          <w:iCs w:val="false"/>
          <w:sz w:val="20"/>
          <w:szCs w:val="20"/>
        </w:rPr>
        <w:t xml:space="preserve">保険者機能強化推進交付金には、上記の800点とは別に「成果指向型配分枠」（配点100点）があります。単一の指標で「成果指向型の介護予防・健康づくりに関する取組を行っているか」を問うもので、要件は次の5つです。いずれも本計画が既に満たしており、追加の事業も調査も要し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2"/>
        <w:gridCol w:w="78"/>
        <w:gridCol w:w="90"/>
      </w:tblGrid>
      <w:tr>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要件（評価指標の留意点）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本計画の該当箇所</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状況</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地域の介護給付費の動向・地域資源・医療・介護・健康づくりに関するデータ等、十分なデータに基づき地域分析を行い課題を設定している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第2章2-1〜2-5・第3章3-1〜3-2・第4章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2調査718件と令和7年度実績により実施済み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年齢・状態・性別等の具体的な住民層を特定して対象層を設定している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第4章4-1（重点課題）・第5章5-3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「単身かつ家族介護なし」「本人が女性の世帯の50代以下の介護者」等を特定済み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データ等に基づく客観的な評価が行えるアウトプット指標を置いている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第10章10-4（KPI管理表）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対象層や社会に現れた変化を客観的に効果検証できるアウトカム指標を置いている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第10章10-4・第6章6-3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成果指標として設定済み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アウトプット指標・アウトカム指標に具体的な目標値を記載している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第10章10-4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第2回・第3回策定委員会で確定</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本枠は該当状況調査の結果により厚生労働省が算定するもので、全国一覧表（001732614.xlsx）に含まれていないため、本町の得点は把握できていません。宮城県を通じて確認します（確認事項No.128）。</w:t>
      </w:r>
    </w:p>
    <w:p>
      <w:pPr>
        <w:spacing w:after="100" w:before="200" w:line="320"/>
      </w:pPr>
      <w:r>
        <w:rPr>
          <w:rFonts w:ascii="游ゴシック" w:cs="游ゴシック" w:eastAsia="游ゴシック" w:hAnsi="游ゴシック"/>
          <w:b w:val="1"/>
          <w:bCs w:val="1"/>
          <w:i w:val="false"/>
          <w:iCs w:val="false"/>
          <w:sz w:val="26"/>
          <w:szCs w:val="26"/>
        </w:rPr>
        <w:t>3-4　第10期に向けた課題</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独居・夫婦のみに加え、未婚の子と高齢親の同居世帯での介護負担が課題。本人が男性の世帯では介護者の70.6％が70歳以上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の認定者のうち家族介護もサービス利用もない世帯が50件（36.2％）。施設入所の申込みは要介護度よりも世帯の状況と強く関連しており、「単身世帯かつ家族介護なし」では83.3％（24件中20件）が申込済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4 章</w:t>
      </w:r>
    </w:p>
    <w:p>
      <w:pPr>
        <w:spacing w:after="140" w:before="0" w:line="320"/>
      </w:pPr>
      <w:r>
        <w:rPr>
          <w:rFonts w:ascii="游ゴシック" w:cs="游ゴシック" w:eastAsia="游ゴシック" w:hAnsi="游ゴシック"/>
          <w:b w:val="1"/>
          <w:bCs w:val="1"/>
          <w:i w:val="false"/>
          <w:iCs w:val="false"/>
          <w:sz w:val="20"/>
          <w:szCs w:val="2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4-1　基本理念（第9期踏襲）</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1"/>
          <w:szCs w:val="21"/>
        </w:rPr>
        <w:t xml:space="preserve">　▌ 基本理念（案）</w:t>
      </w:r>
    </w:p>
    <w:p>
      <w:pPr>
        <w:spacing w:after="240" w:before="240" w:line="360"/>
        <w:jc w:val="center"/>
      </w:pPr>
      <w:r>
        <w:rPr>
          <w:rFonts w:ascii="游ゴシック" w:cs="游ゴシック" w:eastAsia="游ゴシック" w:hAnsi="游ゴシック"/>
          <w:i w:val="false"/>
          <w:iCs w:val="false"/>
          <w:sz w:val="20"/>
          <w:szCs w:val="20"/>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1"/>
          <w:szCs w:val="21"/>
        </w:rPr>
        <w:t xml:space="preserve">　▌ サブタイトル（第10期で新たに付加）</w:t>
      </w:r>
    </w:p>
    <w:p>
      <w:pPr>
        <w:spacing w:after="200" w:before="200" w:line="32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20"/>
          <w:szCs w:val="20"/>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6"/>
          <w:szCs w:val="26"/>
        </w:rPr>
        <w:t xml:space="preserve">4-2　施策の体系（7つの柱）</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は5つの基本方針により体系化されていました。第10期計画では、町がお示しになった「施策・事業の体系（案）」の章立てを基本として継承し、認知症基本法への対応として認知症施策のみを独立した柱に引き上げ、次の7つの柱により体系化します。第2回策定委員会の選択1のＣ案によるものです。第9期の基本方針、及び本素案Ver.1.20までの6つの基本目標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
        <w:gridCol w:w="90"/>
        <w:gridCol w:w="120"/>
      </w:tblGrid>
      <w:tr>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第9期計画の基本方針</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本素案Ver.1.20までの基本目標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第10期計画の柱（Ｃ案）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　健康づくりの推進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　高齢者が安心して暮らせる</w:t>
              <w:br/>
              <w:t xml:space="preserve">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　高齢者が安心して暮らせる</w:t>
              <w:br/>
              <w:t xml:space="preserve">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　高齢者が安心して暮らせる</w:t>
              <w:br/>
              <w:t xml:space="preserve">まちづくりの推進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　地域生活を支援する</w:t>
              <w:br/>
              <w:t xml:space="preserve">取り組みの充実</w:t>
              <w:br/>
              <w:t xml:space="preserve">【家族介護者への支援を新設】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　地域支援事業の充実</w:t>
              <w:br/>
              <w:t xml:space="preserve">【認知症施策を柱5へ移設】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（基本方針3・4に含まれていた</w:t>
              <w:br/>
              <w:t xml:space="preserve">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　認知症施策の推進</w:t>
              <w:br/>
              <w:t xml:space="preserve">【独立。認知症基本法第13条】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　介護給付・介護予防給付</w:t>
              <w:br/>
              <w:t xml:space="preserve">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　介護サービスの質の確保と</w:t>
              <w:br/>
              <w:t xml:space="preserve">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　介護給付・介護予防給付</w:t>
              <w:br/>
              <w:t xml:space="preserve">サービスの充実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（基本方針4・5に含まれていた</w:t>
              <w:br/>
              <w:t xml:space="preserve">包括的支援・保険者機能）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　地域マネジメントに関する事項</w:t>
              <w:br/>
              <w:t xml:space="preserve">【乖離のモニタリング・</w:t>
              <w:br/>
              <w:t xml:space="preserve">住所地特例への対応を新設】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
        <w:gridCol w:w="148"/>
      </w:tblGrid>
      <w:tr>
        <w:tc>
          <w:tcPr>
            <w:tcW w:type="dxa"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w:t>
            </w:r>
          </w:p>
        </w:tc>
        <w:tc>
          <w:tcPr>
            <w:tcW w:type="dxa" w:w="1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生涯を通じた健康づくり、医療機関との連携、感染症対策、健康診査・保健指導を推進します。体格（BMI）区分別の分析により保健指導の対象を絞り込みます。（2節5項17事業）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柱2．高齢者が安心して</w:t>
              <w:br/>
              <w:t xml:space="preserve">　暮らせるまちづくりの推進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みやすい環境整備、災害発生時の高齢者支援、防犯・交通安全・消費者被害の防止を推進します。転倒経験・転倒不安の高さを避難行動要支援者名簿・個別避難計画の優先度検討に活かします。（2節3項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柱3．地域生活を支援する</w:t>
              <w:br/>
              <w:t xml:space="preserve">　取り組みの充実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見守り、社会参加に加え、家族介護者への支援を新たな項として立てます。家族介護教室・ピアサポート・レスパイト・介護離職の防止・支援が届いていない世帯の把握を行います。（2節4項25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包括的支援事業・任意事業を推進します。重層的支援体制整備事業との連動を加えます。交付金で評価されている介護予防ポイント事業・アウトリーチ等の取組を事業として立てます。（2節5項30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柱5．認知症施策の推進</w:t>
              <w:br/>
              <w:t xml:space="preserve">　【独立】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第13条に基づく市町村認知症施策推進計画です。計画の策定手続、早期発見・早期対応、地域支援・ケア向上、サポーター活動促進、社会参加・権利利益の保護、認知症の日・認知症月間の6節で構成します。難聴高齢者の早期発見・早期介入を第21条（認知症の予防等）の対応事業として含みます。（6節8項28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柱6．介護給付・介護予防給付</w:t>
              <w:b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居宅サービス14種別、地域密着型サービス9種別、施設サービス3種別の見込量を確保します。必要利用定員総数は第9章9-1に定めます。（3節3項26事業）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柱7．地域マネジメントに</w:t>
              <w:br/>
              <w:t xml:space="preserve">　関する事項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サービスの質の向上、介護費用の適正化、人材確保、生産性向上、目標と指標の管理に加え、計画値と実績値の乖離のモニタリングと公表、町外施設利用・住所地特例への対応を新たに立てます。（9項9事業）</w:t>
            </w:r>
          </w:p>
        </w:tc>
      </w:tr>
    </w:tbl>
    <w:p>
      <w:pPr>
        <w:spacing w:after="100" w:before="200" w:line="320"/>
      </w:pPr>
      <w:r>
        <w:rPr>
          <w:rFonts w:ascii="游ゴシック" w:cs="游ゴシック" w:eastAsia="游ゴシック" w:hAnsi="游ゴシック"/>
          <w:b w:val="1"/>
          <w:bCs w:val="1"/>
          <w:i w:val="false"/>
          <w:iCs w:val="false"/>
          <w:sz w:val="26"/>
          <w:szCs w:val="26"/>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では、上記7つの柱に沿って施策を展開するにあたり、以下の4つの重点ポイントを設定します。これらは、川崎町固有の課題（後期高齢者の急増・町外施設依存・移動支援の再構築・認知症基本法対応・8050問題・家族介護者の高齢化）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66"/>
        <w:gridCol w:w="21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w:t>
            </w:r>
          </w:p>
        </w:tc>
        <w:tc>
          <w:tcPr>
            <w:tcW w:type="dxa"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テーマ</w:t>
            </w:r>
          </w:p>
        </w:tc>
        <w:tc>
          <w:tcPr>
            <w:tcW w:type="dxa" w:w="2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認知症基本法対応</w:t>
              <w:br/>
              <w:t xml:space="preserve">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柱5を独立させ、計画書では第6章として位置付け。本人ミーティングの新設・チームオレンジの活動の充実・認知症の日及び認知症月間の事業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移動支援の再構築</w:t>
              <w:br/>
              <w:t xml:space="preserve">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柱3。タクシー助成終了後の社協・NPO移送＋デマンドバス＋町民バスの3制度を一体で運用し周知を強化。施設偏在への対応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家族介護者支援</w:t>
              <w:br/>
              <w:t xml:space="preserve">と地域包括ケアの深化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柱3・柱4。家族介護者への支援を新設。介護者の高齢化対策は本人が男性の世帯、両立支援は本人が女性の世帯を主たる対象とする。包括センターの体制強化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広域連携と</w:t>
              <w:br/>
              <w:t xml:space="preserve">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柱1・柱6・柱7。みやぎ県南中核病院等との広域医療連携、住所地特例24人を含めた施設供給見込量、介護人材の確保</w:t>
            </w:r>
          </w:p>
        </w:tc>
      </w:tr>
    </w:tbl>
    <w:p>
      <w:pPr>
        <w:spacing w:after="100" w:before="200" w:line="320"/>
      </w:pPr>
      <w:r>
        <w:rPr>
          <w:rFonts w:ascii="游ゴシック" w:cs="游ゴシック" w:eastAsia="游ゴシック" w:hAnsi="游ゴシック"/>
          <w:b w:val="1"/>
          <w:bCs w:val="1"/>
          <w:i w:val="false"/>
          <w:iCs w:val="false"/>
          <w:sz w:val="26"/>
          <w:szCs w:val="26"/>
        </w:rPr>
        <w:t>4-4　計画の体系図</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本計画の基本理念・施策の体系は以下のとおりです。柱ごとの節・項・事業の全体像は、別冊「施策・事業の体系（Ｃ案）」（全7章17節37項143事業）に収録しています。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1"/>
                <w:szCs w:val="21"/>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17"/>
                <w:szCs w:val="17"/>
              </w:rPr>
              <w:t xml:space="preserve">〜 認知症になっても誰もが自分らしく暮らせる地域共生社会の実現 〜</w:t>
            </w:r>
          </w:p>
        </w:tc>
      </w:tr>
      <w:tr>
        <w:tc>
          <w:tcPr/>
          <w:p>
            <w:pPr>
              <w:spacing w:after="80" w:before="80"/>
              <w:jc w:val="center"/>
            </w:pPr>
            <w:r>
              <w:rPr>
                <w:rFonts w:ascii="游ゴシック" w:cs="游ゴシック" w:eastAsia="游ゴシック" w:hAnsi="游ゴシック"/>
                <w:i/>
                <w:iCs/>
                <w:sz w:val="17"/>
                <w:szCs w:val="17"/>
              </w:rPr>
              <w:t xml:space="preserve">↓</w:t>
            </w:r>
          </w:p>
        </w:tc>
      </w:tr>
      <w:tr>
        <w:tc>
          <w:tcPr/>
          <w:p>
            <w:pPr>
              <w:spacing w:after="80" w:before="80"/>
              <w:jc w:val="center"/>
            </w:pPr>
            <w:r>
              <w:rPr>
                <w:rFonts w:ascii="游ゴシック" w:cs="游ゴシック" w:eastAsia="游ゴシック" w:hAnsi="游ゴシック"/>
                <w:i/>
                <w:iCs/>
                <w:sz w:val="17"/>
                <w:szCs w:val="17"/>
              </w:rPr>
              <w:t xml:space="preserve">【7つの柱】（全7章17節37項143事業）</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80"/>
        <w:gridCol w:w="96"/>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1"/>
                <w:szCs w:val="21"/>
              </w:rPr>
              <w:t xml:space="preserve">柱1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7"/>
                <w:szCs w:val="17"/>
              </w:rPr>
              <w:t xml:space="preserve">健康づくりの推進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高齢者が安心して暮らせるまちづくりの推進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地域生活を支援する取り組みの充実【家族介護者への支援を新設】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5-2・5-3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第5章 5-1・5-5／第9章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認知症施策の推進【独立】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第6章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介護給付・介護予防給付サービスの充実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第7章／第9章 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1"/>
                <w:szCs w:val="21"/>
              </w:rPr>
              <w:t xml:space="preserve">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地域マネジメントに関する事項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第7章／第8章／第10章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5 章</w:t>
      </w:r>
    </w:p>
    <w:p>
      <w:pPr>
        <w:spacing w:after="140" w:before="0" w:line="320"/>
      </w:pPr>
      <w:r>
        <w:rPr>
          <w:rFonts w:ascii="游ゴシック" w:cs="游ゴシック" w:eastAsia="游ゴシック" w:hAnsi="游ゴシック"/>
          <w:b w:val="1"/>
          <w:bCs w:val="1"/>
          <w:i w:val="false"/>
          <w:iCs w:val="false"/>
          <w:sz w:val="20"/>
          <w:szCs w:val="2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4章で示した7つの柱のうち、認知症施策（柱5）と地域マネジメント（柱7）を除く5つの柱の施策を、施策の方向性・事業の一覧・成果指標（KPI）の3層で整理します。事業は、別冊「施策・事業の体系（Ｃ案）」の節・項の単位で掲げており、本章に106事業を収めています。認知症施策（柱5・28事業）は第6章、地域マネジメント（柱7・9事業）は第8章に掲げます。区分の「継続」は第9期から引き続き実施する事業、「拡充」は内容を広げる事業、「新規」は第10期で新たに立てる事業、「再掲」は他の節に掲げた事業を参照のために再び掲げたものです。</w:t>
      </w:r>
    </w:p>
    <w:p>
      <w:pPr>
        <w:spacing w:after="80" w:before="80" w:line="280"/>
        <w:ind w:left="288"/>
      </w:pPr>
      <w:r>
        <w:rPr>
          <w:rFonts w:ascii="游ゴシック" w:cs="游ゴシック" w:eastAsia="游ゴシック" w:hAnsi="游ゴシック"/>
          <w:i/>
          <w:iCs/>
          <w:sz w:val="20"/>
          <w:szCs w:val="20"/>
        </w:rPr>
        <w:t xml:space="preserve">※ 各施策の住民ニーズ根拠は、令和8年6〜7月に実施した2調査（一般高齢者576件・要支援要介護認定者142件）の結果によります。調査結果の全体像は第2章2-6を参照してください。各事業の根拠・所管・KPI候補は、別冊の管理表「第10期 施策・事業の統合体系表」に1事業ごとに収めています。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02"/>
        <w:gridCol w:w="102"/>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第5章の節</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対応する柱</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Ver.2.0での扱い</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5-1　健康づくり・介護予防の推進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柱1・柱4（一般介護予防事業）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柱1と柱4に分けて節を立て直す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5-2　高齢者が安心して暮らせるまちづくり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柱2・柱3（生活支援・見守り）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柱2と柱3に分けて節を立て直す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　在宅生活継続の支援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柱3（家族介護者への支援）・柱1（広域医療連携）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家族介護者への支援を柱3の項として独立させる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　介護サービスの質の確保と人材確保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柱6・柱7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柱6と柱7に分ける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柱4（包括的支援事業）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柱4の節として整理する</w:t>
            </w:r>
          </w:p>
        </w:tc>
      </w:tr>
    </w:tbl>
    <w:p>
      <w:pPr>
        <w:spacing w:after="80" w:before="80" w:line="280"/>
        <w:ind w:left="288"/>
      </w:pPr>
      <w:r>
        <w:rPr>
          <w:rFonts w:ascii="游ゴシック" w:cs="游ゴシック" w:eastAsia="游ゴシック" w:hAnsi="游ゴシック"/>
          <w:i/>
          <w:iCs/>
          <w:sz w:val="20"/>
          <w:szCs w:val="20"/>
        </w:rPr>
        <w:t xml:space="preserve">⚠ 本表の組み替えは本版（Ver.2.0）で行いました。第9期の6つの基本方針・本素案Ver.1.25までの6つの基本目標と、第10期の7つの柱との対応は第4章の表をご参照ください。体系（Ｃ案）で新たに立てた事業23件（家族介護者への支援6件・認知症施策13件・町外医療機関との広域連携・重層的支援体制整備事業との連動・計画値と実績値の乖離のモニタリング・住所地特例への対応）は、本章・第6章・第8章の該当する節に「新規」として掲げています。</w:t>
      </w:r>
    </w:p>
    <w:p>
      <w:pPr>
        <w:spacing w:after="100" w:before="200" w:line="320"/>
      </w:pPr>
      <w:r>
        <w:rPr>
          <w:rFonts w:ascii="游ゴシック" w:cs="游ゴシック" w:eastAsia="游ゴシック" w:hAnsi="游ゴシック"/>
          <w:b w:val="1"/>
          <w:bCs w:val="1"/>
          <w:i w:val="false"/>
          <w:iCs w:val="false"/>
          <w:sz w:val="26"/>
          <w:szCs w:val="26"/>
        </w:rPr>
        <w:t xml:space="preserve">5-1　健康づくりの推進（柱1）</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n=340・256件）が生きがいもあると回答しており（趣味が思いつかない人では14.5％・n=166・24件）、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生涯を通じた健康づくりの推進（3項9事業）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生涯を通じた健康づくりの推進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（１）健康づくりのための正しい知識の普及・啓発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（３）住民との協働による健康づくりの推進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（４）健康相談の充実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（５）健康づくり団体などの育成・支援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医療機関との連携の推進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（１）連携による医療内容の充実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（２）かかりつけ医制度の普及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感染症対策の推進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（１）高齢者の感染症予防と発生時の対応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健康診査・保健指導等の充実（2項8事業）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健康診査・保健指導等の充実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（１）特定健康診査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（２）特定保健指導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（３）各種がん検診の実施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各種保健事業の推進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（１）各種検診の受診勧奨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（２）生活習慣病重症化予防事業の推進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（３）集団健康教育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（４）総合健康相談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新たに立てる事業・広げる事業（新規1件・拡充2件）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（２）生活習慣病対策の充実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調：体格別にみると肥満層の高血圧は66.0％で標準層50.2％を大きく上回る（n=141）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体格（BMI）区分により保健指導の対象を絞り込む。素案2-6に分析を新設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（３）町外医療機関との広域連携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実：専門医療・夜間救急はみやぎ県南中核病院・刈田綜合病院への依存が大きい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体系（案）にない施策。素案5-3「広域医療連携【重点】」を移設。通院の移動・付添に係る家族負担が大きく、移動支援（第3章）と一体で検討する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（５）こころの健康づくりの推進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調：この1か月に気分が沈むことがあった34.7％・物事に興味がわかない25.0％（n=541）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趣味がある人の75.3％が生きがいもあると回答（趣味が思いつかない人は14.5％）。通いの場・趣味活動との連動が有効</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町独自指標</w:t>
            </w:r>
          </w:p>
        </w:tc>
      </w:tr>
    </w:tbl>
    <w:p>
      <w:pPr>
        <w:spacing w:after="100" w:before="200" w:line="320"/>
      </w:pPr>
      <w:r>
        <w:rPr>
          <w:rFonts w:ascii="游ゴシック" w:cs="游ゴシック" w:eastAsia="游ゴシック" w:hAnsi="游ゴシック"/>
          <w:b w:val="1"/>
          <w:bCs w:val="1"/>
          <w:i w:val="false"/>
          <w:iCs w:val="false"/>
          <w:sz w:val="26"/>
          <w:szCs w:val="26"/>
        </w:rPr>
        <w:t xml:space="preserve">5-2　高齢者が安心して暮らせるまちづくりの推進（柱2）</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n=77・37件）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住みやすい環境整備の推進（1項3事業）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住みやすい環境整備の推進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（１）歩道のバリアフリー化の推進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（２）ユニバーサルデザインに配慮した公共施設等の整備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建設担当課【町確認】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（３）高齢者が生活しやすい住居環境の整備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災害発生時の対策、防犯・事故防止の推進（2項5事業）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災害発生時の高齢者支援対策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（２）地域の防火・防災対策の推進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総務担当課【町確認】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防犯・事故防止の推進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（１）防犯対策の充実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（２）交通安全対策の推進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（３）消費者被害の防止と救済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新たに立てる事業・広げる事業（新規0件・拡充1件）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（１）避難行動要支援者マニュアルの作成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調：転倒経験33.6％（n=572）・転倒不安51.9％（n=543）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転倒経験・転倒不安の高さは避難行動要支援者名簿・個別避難計画の優先度検討に資する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6"/>
          <w:szCs w:val="26"/>
        </w:rPr>
        <w:t xml:space="preserve">5-3　地域生活を支援する取り組みの充実（柱3）</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ただしこの設問の回答者は68.1％が主な介護者となっている家族・親族であり、本人が回答したのは26.1％です。本人が回答した36件に限れば申込済みは13.9％（5件）であり、この結果は世帯としての検討状況を示すものであって、本人の意思として扱うことはできません。申込みの有無は、要介護度の重さよりも世帯の状況（単身かどうか・家族介護者がいるかどうか）と強く関連しており、家族・親族の介護が「ない」層では56.9％（n=65・37件）が申込済み（介護が「ある」層は13.5％・n=74・10件）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1"/>
          <w:szCs w:val="21"/>
        </w:rPr>
        <w:t xml:space="preserve">　▌ 第１節 地域における高齢者の生活支援（3項19事業）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福祉サービスの提供による生活支援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（１）外出支援サービス（移送サービス）事業【重点】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（２）デマンド型乗合タクシーの運行【重点】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（３）町民バスの運行【重点】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（４）会食サービス事業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（５）緊急通報システム事業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（６）老人クラブ助成事業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（７）敬老会開催事業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（８）敬老祝金支給事業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住民主体の高齢者の支援体制の充実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（１）社会福祉協議会との連携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（３）ふれあいネットワーク活動の推進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（４）地域コミュニティ活動への支援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（５）ボランティア活動の振興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家族介護者への支援【新設】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新たに立てる事業・広げる事業（新規6件・拡充1件）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（１）家族介護教室の開催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調：主な介護者の不安は「認知症状への対応」33.3％・「外出の付き添い、送迎等」33.3％（n=75）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地域支援事業（任意事業）の家族介護支援事業として実施。第4章第2節3(3)介護用品の支給と一体で国の家族介護支援事業に当たる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（２）家族介護者の相談・交流の場（ピアサポート）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調：主な介護者の70歳以上42.1％（n=76）。第9期35.3％から＋6.8ポイント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同上。介護者の孤立防止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調：本人が男性の世帯では主な介護者の70.6％が70歳以上（n=34）。夫婦のみ世帯では81.3％（n=16）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介護者の高齢化対策の主たる対象は本人が男性の世帯・夫婦のみ世帯</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（４）介護離職の防止・仕事と介護の両立支援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調：働きながらの介護継続が「難しい」計25.6％。第9期17.2％から＋8.4ポイント。介護のために離職・転職した世帯19.1％（n=68）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両立支援の主たる対象は本人が女性の世帯（介護者の43.6％が50代以下・フルタイム就労41.0％）。町単独事業のため地域支援事業の対象外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調：家族介護もサービス利用もない世帯50件（36.2％・n=138）。うち64.0％が施設入所を申込済み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「単身世帯かつ家族介護なし」は24件中20件（83.3％）が申込済みで最も高い。ケアマネジャー・民生委員・ふれあいネットワークと連携して把握する（確認事項No.111）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重層的支援体制整備事業（第4章第2節1(8)）に接続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調：生きがいの自由記述256件のうち「孫」に関する記述が65件（25.4％）と突出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素案に記載がなかった事業。「通いの場」型の施策だけでは届かない層に対する世代間交流の視点</w:t>
            </w:r>
          </w:p>
        </w:tc>
      </w:tr>
    </w:tbl>
    <w:p>
      <w:pPr>
        <w:spacing w:after="80" w:before="180" w:line="300"/>
      </w:pPr>
      <w:r>
        <w:rPr>
          <w:rFonts w:ascii="游ゴシック" w:cs="游ゴシック" w:eastAsia="游ゴシック" w:hAnsi="游ゴシック"/>
          <w:b w:val="1"/>
          <w:bCs w:val="1"/>
          <w:i w:val="false"/>
          <w:iCs w:val="false"/>
          <w:sz w:val="21"/>
          <w:szCs w:val="21"/>
        </w:rPr>
        <w:t xml:space="preserve">　▌ 家族介護者への支援（第1節3・新設）</w:t>
      </w:r>
    </w:p>
    <w:p>
      <w:pPr>
        <w:spacing w:after="80" w:before="50" w:line="320"/>
        <w:ind w:firstLine="200"/>
        <w:jc w:val="left"/>
      </w:pPr>
      <w:r>
        <w:rPr>
          <w:rFonts w:ascii="游ゴシック" w:cs="游ゴシック" w:eastAsia="游ゴシック" w:hAnsi="游ゴシック"/>
          <w:i w:val="false"/>
          <w:iCs w:val="false"/>
          <w:sz w:val="20"/>
          <w:szCs w:val="20"/>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0"/>
          <w:szCs w:val="20"/>
        </w:rPr>
        <w:t xml:space="preserve">同調査によれば、主な介護者の42.1％が70歳以上であり（n=76）、介護者自身の高齢化が進んでいます。第9期調査の35.3％から6.8ポイント上昇しており、介護者の高齢化は実際に進行して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介護者の姿は、本人の性別によって大きく異なります。本人が男性の世帯では主な介護者の70.6％（n=34）が70歳以上で、夫婦のみ世帯に限れば81.3％（n=16）に達します。これに対し、本人が女性の世帯では介護者の43.6％（n=39）が50代以下で、フルタイムで働いている介護者が41.0％を占めます。介護者の高齢化対策（レスパイト・訪問相談）と仕事と介護の両立支援（勤務調整・休暇制度の周知）とでは対象となる世帯像が異なるため、周知の経路と内容を分けて設計します。一方で、家族・親族からの介護がない層が45.8％（n=142）あり、この層の56.9％が既に施設入所を申し込んでいます（介護が「ある」層は13.5％）。さらに、家族介護もサービス利用もない世帯が50件・36.2％（n=138）あり、その64.0％（32件）は施設入所を申込済みです。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は、要介護度よりも世帯の状況と強く関連している。最も高いのは「単身世帯かつ家族介護なし」の83.3％（24件中20件）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1"/>
          <w:szCs w:val="21"/>
        </w:rPr>
        <w:t xml:space="preserve">　▌ 第２節 高齢者の社会参加の促進（1項6事業）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高齢者の社会参加の促進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（１）老人クラブ活動の支援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（２）生涯学習の推進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（３）高齢者の健康づくり・スポーツ活動の振興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（４）高齢者と若い世代との交流の推進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（５）地域交流活動の推進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（６）シルバー人材センターの活用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w:t>
            </w:r>
          </w:p>
        </w:tc>
      </w:tr>
    </w:tbl>
    <w:p>
      <w:pPr>
        <w:spacing w:after="80" w:before="80" w:line="280"/>
        <w:ind w:left="288"/>
      </w:pPr>
      <w:r>
        <w:rPr>
          <w:rFonts w:ascii="游ゴシック" w:cs="游ゴシック" w:eastAsia="游ゴシック" w:hAnsi="游ゴシック"/>
          <w:i/>
          <w:iCs/>
          <w:sz w:val="20"/>
          <w:szCs w:val="20"/>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6"/>
          <w:szCs w:val="26"/>
        </w:rPr>
        <w:t xml:space="preserve">5-4　地域支援事業の充実（柱4）</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予防・日常生活支援総合事業と包括的支援事業・任意事業により、要支援者と事業対象者への支援、地域包括支援センターの運営、生活支援体制の整備、家族介護者への支援等を行います。令和8年度の保険者努力支援交付金では、目標Ⅰ（介護予防・日常生活支援の推進）が100点満点中87点で全国5位であり、本町が最も高い評価を得ている分野です。一方、活動指標群のうち「生活支援コーディネーターの地域ケア会議への参加割合」は0点であり（配置数は満点）、会議への出席を運用で確保することを第2節に位置付けます。</w:t>
      </w:r>
    </w:p>
    <w:p>
      <w:pPr>
        <w:spacing w:after="80" w:before="50" w:line="320"/>
        <w:ind w:firstLine="200"/>
        <w:jc w:val="left"/>
      </w:pPr>
      <w:r>
        <w:rPr>
          <w:rFonts w:ascii="游ゴシック" w:cs="游ゴシック" w:eastAsia="游ゴシック" w:hAnsi="游ゴシック"/>
          <w:i w:val="false"/>
          <w:iCs w:val="false"/>
          <w:sz w:val="20"/>
          <w:szCs w:val="20"/>
        </w:rPr>
        <w:t xml:space="preserve">また、交付金で評価されながら第9期計画に記載のなかった「介護予防ポイント事業」（支援 目標Ⅰ・県内1位）と「アウトリーチ等の取組」（支援 目標Ⅰ・9点満点・県内1位）を、第1節の事業として明記します。とりわけアウトリーチは、通いの場への参加意向55.2％（n=543）に対し実際の参加率が15.9％（n=439）にとどまるという開きを埋める手段として、施策上の意味が大きい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 地域支援事業の事業別の実績（費用・実施回数・対象者数）は町からのご提供を待っています。上限額の管理と事業費の見込みは第9章9-2に整理しています。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介護予防・日常生活支援総合事業（2項14事業）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介護予防・生活支援サービス事業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（１）訪問型サービス（訪問介護相当サービス、訪問型サービスＢ・Ｃ）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（２）通所型サービス（通所介護相当サービス、通所型サービスＢ）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（３）介護予防ケアマネジメント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（５）高額介護予防サービス相当事業等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（１）介護予防把握事業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（２）介護予防普及啓発事業（元気まんてん介護予防教室、元気いきいきセミナー、パドル体操教室、ノルディックウォーキング教室等）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（５）地域リハビリテーション活動支援事業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（６）介護予防・地域ささえあいサポート拠点事業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（７）ユニバーサルサポーター制度の推進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（８）介護予防ポイント事業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（９）アウトリーチによる参加勧奨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包括的支援事業・任意事業（3項16事業）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包括的支援システムの充実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（３）総合相談支援・権利擁護事業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（４）包括的・継続的ケアマネジメント支援事業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（７）高齢者虐待の早期発見、早期解決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生活支援サービスの体制整備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（２）生活支援コーディネーター（地域支え合い推進員）の確保と研修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（３）生活支援・介護予防サービスのネットワーク（協議体）の推進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（４）生活支援・介護予防サービスの推進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（２）成年後見制度利用支援事業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（３）介護用品（紙おむつ等）の支給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（４）配食サービス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新たに立てる事業・広げる事業（新規1件・拡充8件）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（３）地域介護予防活動支援事業（介護予防サロン、ヨーガ教室等）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調：通いの場に参加していない84.1％（n=439）に対しグループ活動への参加意向55.2％（n=543）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参加意向と実際の参加の開きが大きい。移動支援との連動が課題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（４）一般介護予防事業評価事業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第7章8（計画値と実績値の乖離のモニタリング）と連動</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（１）地域包括支援センター運営事業【重点】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実：保健師3名＋認定調査員1名の4名体制。認定調査業務との兼務で業務量が過多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第10期の体制強化が課題。ケアプランの外部委託あり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（２）包括的相談体制の整備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調：家族・友人以外に相談できる相手が「いない」38.8％（n=484）。世帯構成による差は小さい（χ²検定 p=0.366）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相談窓口の不在は独居かどうかによらない共通の課題。対象を絞らない全戸的な周知が有効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（５）自立支援型地域ケア会議の充実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交：取組（プロセス）は全国上位である一方、要介護度の変化等のアウトカムは全国下位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ケース検討から地域課題の抽出への展開を重点化する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目標Ⅲ 体制3指標はいずれも満点・県内1位である一方、「人生の最終段階における支援」0／16点・県内31位、「入退院支援」4／16点・県内23位。実：国民健康保険川崎病院が町内唯一の医療拠点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退院前カンファレンス・ACP（人生会議）の普及。町外医療機関との広域連携（第1章第1節2(3)）と一体で運用する。体制は整っているが活動量が伴っていないため、ACPと入退院支援の実施件数を第10期の重点とする。人生の最終段階における支援は3年連続0点であり、同規模かつ過疎地域の285保険者の平均3.6点も全国平均6.4点を下回る。まず実施の記録を残す運用から始め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（８）重層的支援体制整備事業との連動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実：令和8年度からの地域福祉計画・障害者計画との3計画同時策定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体系（案）にない施策。8050問題・ヤングケアラー・ダブルケア等の複合的な課題を抱える世帯への包括的支援。地域福祉計画・障害者計画はジャパン総研が策定担当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（１）生活支援コーディネーター（地域支え合い推進員）活動の推進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交：支援 目標Ⅰ「生活支援コーディネーター数」4点満点・県内1位である一方、「地域ケア会議への参加割合」0／4点・県内25位。実：生活支援コーディネーター25名・第1層協議体・第2層協議体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配置数は県内1位だが会議への参加が3年連続0点。自立支援型地域ケア会議（第2節1(5)）への出席を運用で確保すれば得点できる。同規模かつ過疎地域の285保険者のうち161件（56.5％）が満点を取っており、0点9指標のなかで最も取りやすい（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（１）介護給付費等適正化事業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交：「給付費適正化方策の策定状況」は3年連続32点満点・県内1位である一方、「給付費適正化事業の取組状況」は令和7年度36点から令和8年度30／36点に低下。「医療情報との突合」は16点満点・県内1位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柱7 2（介護費用適正化の推進）と一体で運用する。令和8年度に落ちた項目を確認中【町確認】</w:t>
            </w:r>
          </w:p>
        </w:tc>
      </w:tr>
    </w:tbl>
    <w:p>
      <w:pPr>
        <w:spacing w:after="100" w:before="200" w:line="320"/>
      </w:pPr>
      <w:r>
        <w:rPr>
          <w:rFonts w:ascii="游ゴシック" w:cs="游ゴシック" w:eastAsia="游ゴシック" w:hAnsi="游ゴシック"/>
          <w:b w:val="1"/>
          <w:bCs w:val="1"/>
          <w:i w:val="false"/>
          <w:iCs w:val="false"/>
          <w:sz w:val="26"/>
          <w:szCs w:val="26"/>
        </w:rPr>
        <w:t xml:space="preserve">5-5　介護給付・介護予防給付サービスの充実（柱6）</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介護予防給付のサービスは、居宅サービス14種別・地域密着型サービス9種別・施設サービス3種別です。本節では体系上の位置付けを示し、種別ごとの見込量・給付費及び必要利用定員総数は第9章9-1に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本町の給付構造は、令和7年度で施設サービスが給付費の49.4％、地域密着型が18.3％、居宅サービスが32.3％です。入所・居住系（施設・地域密着型・特定施設）が680,226千円・68.1％を占め、1人1月あたり給付費は約29.9万円で、居宅サービス（特定施設を除く）の約10.2万円の約2.9倍です。入所・居住系の利用者が1人増減すると保険料基準額は月額約21円動きます。</w:t>
      </w:r>
    </w:p>
    <w:p>
      <w:pPr>
        <w:spacing w:after="80" w:before="50" w:line="320"/>
        <w:ind w:firstLine="200"/>
        <w:jc w:val="left"/>
      </w:pPr>
      <w:r>
        <w:rPr>
          <w:rFonts w:ascii="游ゴシック" w:cs="游ゴシック" w:eastAsia="游ゴシック" w:hAnsi="游ゴシック"/>
          <w:i w:val="false"/>
          <w:iCs w:val="false"/>
          <w:sz w:val="20"/>
          <w:szCs w:val="20"/>
        </w:rPr>
        <w:t xml:space="preserve">⚠ 在宅系の地域密着型サービス（定期巡回・随時対応型訪問介護看護、夜間対応型訪問介護、看護小規模多機能型居宅介護）は、在宅介護実態調査での利用がほとんど確認できませんでした。町内及び近隣市町村に指定事業所が存在するかを確認できておらず［要確認］、存在しない場合、利用が0件であることは供給側の事実であり、利用勧奨では対応できません。第2回策定委員会の選択3でお諮りしています。</w:t>
      </w:r>
    </w:p>
    <w:p>
      <w:pPr>
        <w:spacing w:after="80" w:before="180" w:line="300"/>
      </w:pPr>
      <w:r>
        <w:rPr>
          <w:rFonts w:ascii="游ゴシック" w:cs="游ゴシック" w:eastAsia="游ゴシック" w:hAnsi="游ゴシック"/>
          <w:b w:val="1"/>
          <w:bCs w:val="1"/>
          <w:i w:val="false"/>
          <w:iCs w:val="false"/>
          <w:sz w:val="21"/>
          <w:szCs w:val="21"/>
        </w:rPr>
        <w:t xml:space="preserve">　▌ 第１節 居宅サービス（14事業）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介護・介護予防給付サービス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（１）訪問介護（ホームヘルプサービス）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（２）訪問入浴介護・介護予防訪問入浴介護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（３）訪問看護・介護予防訪問看護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（４）訪問リハビリテーション・介護予防訪問リハビリテーション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（５）居宅療養管理指導・介護予防居宅療養管理指導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（６）通所介護（デイサービス）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（７）通所リハビリテーション・介護予防通所リハビリテーション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（８）短期入所生活介護・介護予防短期入所生活介護（ショートステイ）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（９）短期入所療養介護（ショートステイ）・介護予防短期入所療養介護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（10）特定施設入居者生活介護、介護予防特定施設入居者生活介護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（11）福祉用具貸与・介護予防福祉用具貸与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（12）特定福祉用具購入費・特定介護予防福祉用具購入費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（13）住宅改修・介護予防住宅改修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（14）居宅介護支援・介護予防支援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地域密着型サービス（9事業）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地域密着型サービス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（３）認知症対応型通所介護・介護予防認知症対応型通所介護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（４）小規模多機能型居宅介護、介護予防小規模多機能型居宅介護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（５）認知症対応型共同生活介護・介護予防認知症対応型共同生活介護（グループホーム）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（７）地域密着型介護老人福祉施設入居者生活介護（小規模特別養護老人ホーム）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（８）看護小規模多機能型居宅介護（複合型サービス）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（９）地域密着型通所介護（小規模デイ）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施設サービス（3事業）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
        <w:gridCol w:w="184"/>
        <w:gridCol w:w="32"/>
        <w:gridCol w:w="96"/>
      </w:tblGrid>
      <w:tr>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0"/>
          <w:szCs w:val="20"/>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6 章</w:t>
      </w:r>
    </w:p>
    <w:p>
      <w:pPr>
        <w:spacing w:after="140" w:before="0" w:line="320"/>
      </w:pPr>
      <w:r>
        <w:rPr>
          <w:rFonts w:ascii="游ゴシック" w:cs="游ゴシック" w:eastAsia="游ゴシック" w:hAnsi="游ゴシック"/>
          <w:b w:val="1"/>
          <w:bCs w:val="1"/>
          <w:i w:val="false"/>
          <w:iCs w:val="false"/>
          <w:sz w:val="20"/>
          <w:szCs w:val="2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本章は、令和6年1月に施行された「共生社会の実現を推進するための認知症基本法」第13条に基づく市町村認知症施策推進計画として、本計画に独立章として位置付けるものです。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やその家族が暮らしやすい共生社会の実現を目的とし、市町村に対して認知症施策推進計画の策定を努力義務として課しています（第13条第1項）。市町村計画は、国の認知症施策推進基本計画及び都道府県計画を基本とするとともに、市町村の実情に即したものとすることとされています。また同条第2項により、市町村地域福祉計画（社会福祉法第107条第1項）、市町村老人福祉計画（老人福祉法第20条の8第1項）、市町村介護保険事業計画（介護保険法第117条第1項）その他認知症施策に関連する事項を定める計画と調和が保たれたものでなければなりません。本計画は、これらを一体の計画として策定することにより調和を確保します。宮城県の認知症施策推進計画の策定状況は確認中です［要確認］。</w:t>
      </w:r>
    </w:p>
    <w:p>
      <w:pPr>
        <w:spacing w:after="100" w:before="200" w:line="320"/>
      </w:pPr>
      <w:r>
        <w:rPr>
          <w:rFonts w:ascii="游ゴシック" w:cs="游ゴシック" w:eastAsia="游ゴシック" w:hAnsi="游ゴシック"/>
          <w:b w:val="1"/>
          <w:bCs w:val="1"/>
          <w:i w:val="false"/>
          <w:iCs w:val="false"/>
          <w:sz w:val="26"/>
          <w:szCs w:val="26"/>
        </w:rPr>
        <w:t>6-1　認知症基本法と川崎町の対応方針</w:t>
      </w:r>
    </w:p>
    <w:p>
      <w:pPr>
        <w:spacing w:after="80" w:before="180" w:line="300"/>
      </w:pPr>
      <w:r>
        <w:rPr>
          <w:rFonts w:ascii="游ゴシック" w:cs="游ゴシック" w:eastAsia="游ゴシック" w:hAnsi="游ゴシック"/>
          <w:b w:val="1"/>
          <w:bCs w:val="1"/>
          <w:i w:val="false"/>
          <w:iCs w:val="false"/>
          <w:sz w:val="21"/>
          <w:szCs w:val="21"/>
        </w:rPr>
        <w:t xml:space="preserve">　▌ 本町が目指す姿と「新しい認知症観」</w:t>
      </w:r>
    </w:p>
    <w:p>
      <w:pPr>
        <w:spacing w:after="80" w:before="50" w:line="320"/>
        <w:ind w:firstLine="200"/>
        <w:jc w:val="left"/>
      </w:pPr>
      <w:r>
        <w:rPr>
          <w:rFonts w:ascii="游ゴシック" w:cs="游ゴシック" w:eastAsia="游ゴシック" w:hAnsi="游ゴシック"/>
          <w:i w:val="false"/>
          <w:iCs w:val="false"/>
          <w:sz w:val="20"/>
          <w:szCs w:val="20"/>
        </w:rPr>
        <w:t xml:space="preserve">この計画は、認知症があっても住み慣れた地域で自分らしく暮らせる地域をつくるための手立てであり、計画をつくること自体が目的ではありません。厚生労働省「都道府県・市町村向け認知症施策推進計画策定の手引き」も、「計画策定」そのものが目的ではなく、地域の認知症の人と家族等の声を聴き、地域での課題を明らかにしたうえで認知症施策に反映させることが重要であるとしています。本章に掲げる目指す姿と施策の考え方は、担当職員が変わっても引き継がれるものとして定めます。</w:t>
      </w:r>
    </w:p>
    <w:p>
      <w:pPr>
        <w:spacing w:after="80" w:before="50" w:line="320"/>
        <w:ind w:firstLine="200"/>
        <w:jc w:val="left"/>
      </w:pPr>
      <w:r>
        <w:rPr>
          <w:rFonts w:ascii="游ゴシック" w:cs="游ゴシック" w:eastAsia="游ゴシック" w:hAnsi="游ゴシック"/>
          <w:i w:val="false"/>
          <w:iCs w:val="false"/>
          <w:sz w:val="20"/>
          <w:szCs w:val="20"/>
        </w:rPr>
        <w:t xml:space="preserve">▶ 本町が目指す姿　認知症になっても、これまでの暮らしを続けられる町。困りごとを相談できる人と場があり、支えられる側としてだけでなく、畑や地域の行事で役割を持ち続けられる町。家族が一人で抱え込まず、介護しながら自分の暮らしも続けられる町。そして、認知症の人と出会ったことのある町民が、「認知症になっても大丈夫だ」と思える町。</w:t>
      </w:r>
    </w:p>
    <w:p>
      <w:pPr>
        <w:spacing w:after="80" w:before="50" w:line="320"/>
        <w:ind w:firstLine="200"/>
        <w:jc w:val="left"/>
      </w:pPr>
      <w:r>
        <w:rPr>
          <w:rFonts w:ascii="游ゴシック" w:cs="游ゴシック" w:eastAsia="游ゴシック" w:hAnsi="游ゴシック"/>
          <w:i w:val="false"/>
          <w:iCs w:val="false"/>
          <w:sz w:val="20"/>
          <w:szCs w:val="20"/>
        </w:rPr>
        <w:t xml:space="preserve">この姿の土台にあるのが「新しい認知症観」です。認知症施策推進基本計画（令和6年12月）は、これを「認知症になったら何もできなくなるのではなく、認知症になってからも、一人一人が個人としてできること・やりたいことがあり、住み慣れた地域で仲間等とつながりながら、希望を持って自分らしく暮らし続けることができるという考え方」としています。本章の施策は、認知症の人を支援の対象としてのみ捉えるのではなく、ともに地域をつくる一員として捉えるこの考え方に立って組み立てます。</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は、行政職員自身が「新しい認知症観」を実感として理解することがその第一歩であるとし、「まずは行政職員が、認知症の人と家族等の暮らしや活動の現場に出向き、認知症の人と家族等と対話し、意見を交換し合うこと、共に過ごすことを通じて、行政職員自身が自らの認知症観を変えていくことが重要」としています。本町では、次に述べる意見聴取のすべての回に町職員が出席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を含む7項目が掲げられています（第3条）。また、国民の間に広く認知症についての関心と理解を深めるため、9月21日を認知症の日、9月1日から30日までを認知症月間と定め、地方公共団体に対し、認知症の日にその趣旨にふさわしい事業を実施するよう努めること及び認知症月間にふさわしい行事が実施されるよう奨励することを求めています（第9条）。</w:t>
      </w:r>
    </w:p>
    <w:p>
      <w:pPr>
        <w:spacing w:after="80" w:before="180" w:line="300"/>
      </w:pPr>
      <w:r>
        <w:rPr>
          <w:rFonts w:ascii="游ゴシック" w:cs="游ゴシック" w:eastAsia="游ゴシック" w:hAnsi="游ゴシック"/>
          <w:b w:val="1"/>
          <w:bCs w:val="1"/>
          <w:i w:val="false"/>
          <w:iCs w:val="false"/>
          <w:sz w:val="21"/>
          <w:szCs w:val="21"/>
        </w:rPr>
        <w:t xml:space="preserve">　▌ 法が市町村に求めていること</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13条は、市町村計画について第1項から第3項までを定め、第3項は都道府県計画に関する第12条第3項から第7項までを準用しています。市町村に求められているのは、計画の策定だけでなく、意見聴取・公表・実施状況の評価・少なくとも5年ごとの検討の一連の手続です。第9期計画では、このうち計画の策定以外は行っていませんで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26"/>
        <w:gridCol w:w="126"/>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根拠条項</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市町村に求められていること</w:t>
            </w:r>
          </w:p>
        </w:tc>
        <w:tc>
          <w:tcPr>
            <w:tcW w:type="dxa" w:w="1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第13条第1項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基本計画及び都道府県計画を基本とするとともに、市町村の実情に即した市町村計画を策定する（努力義務）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本計画の第6章として策定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第13条第2項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市町村地域福祉計画・市町村老人福祉計画・市町村介護保険事業計画その他の計画と調和が保たれたものとする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高齢者保健福祉計画・介護保険事業計画と一体の計画として策定（第1章1-2）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第12条第3項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計画の案を作成しようとするときは、あらかじめ、認知症の人及び家族等の意見を聴く（努力義務）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令和8年10〜11月に地域包括支援センター・国保川崎病院経由で実施［要協議］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第12条第4項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計画を策定したときは、遅滞なく、インターネットの利用その他適切な方法により公表する（努力義務）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町ホームページ及び窓口で公表（第10章）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第12条第5項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適時に、計画に基づいて実施する施策の実施状況の評価を行い、その結果を公表する（努力義務）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毎年度の進行管理（PDCA）の中で評価し、結果を公表（第10章10-2・10-3）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第12条第6項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認知症に関する状況の変化を勘案し、施策の効果に関する評価を踏まえ、少なくとも5年ごとに検討を加える（努力義務）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介護保険事業計画の3年周期の見直しにより満たす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第13条第3項→</w:t>
              <w:br/>
              <w:t xml:space="preserve">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評価の結果の取りまとめを行おうとする場合に認知症の人及び家族等の意見を聴く。計画の変更についても意見聴取及び公表を行う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年次評価の取りまとめの前に意見を聴く仕組みを第10章に位置付け［要協議］</w:t>
            </w:r>
          </w:p>
        </w:tc>
      </w:tr>
    </w:tbl>
    <w:p>
      <w:pPr>
        <w:spacing w:after="80" w:before="180" w:line="300"/>
      </w:pPr>
      <w:r>
        <w:rPr>
          <w:rFonts w:ascii="游ゴシック" w:cs="游ゴシック" w:eastAsia="游ゴシック" w:hAnsi="游ゴシック"/>
          <w:b w:val="1"/>
          <w:bCs w:val="1"/>
          <w:i w:val="false"/>
          <w:iCs w:val="false"/>
          <w:sz w:val="21"/>
          <w:szCs w:val="21"/>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40" w:before="40" w:line="300"/>
        <w:ind w:left="431"/>
      </w:pPr>
      <w:r>
        <w:rPr>
          <w:rFonts w:ascii="游ゴシック" w:cs="游ゴシック" w:eastAsia="游ゴシック" w:hAnsi="游ゴシック"/>
          <w:i w:val="false"/>
          <w:iCs w:val="false"/>
          <w:sz w:val="20"/>
          <w:szCs w:val="20"/>
        </w:rPr>
        <w:t xml:space="preserve">①　本人及び家族等の参画（基本法第13条第3項において準用する第12条第3項）：市町村計画の案を作成しようとするときは、あらかじめ、認知症の人及び家族等の意見を聴くよう努めなければならないとされています。ただし手引き3.1（2）は、「本人参画」とは「単に認知症の人の意見を集めること」が目的ではなく、「共生社会を創りだしていくために必要かつ意義のある施策や取組を、認知症の人の声をもとに、認知症の人の視点に立って、認知症の人と共に具体的に作り出し、着実に推進しながら、真の成果を生み出していくこと」であるとしています。そこで本町では、聴くことにとどめず、施策の立案・実施・評価の3段階に参画いただく仕組みとして「認知症の人及び家族等からの意見聴取の記録様式」を定め、聴いた声を地域の課題に読み替えて施策に反映し、反映した結果を本人・家族にお返しするところまでを記録します（様式は別冊「様式集」に掲げ、計画書には聴取の結果の要約を掲げます）。この手続は、介護保険保険者努力支援交付金 目標Ⅱ（ⅰ）1のカ「認知症の人及び家族等の意見を踏まえた市町村認知症施策推進計画の策定に着手している」（配点5点・全国の得点率42.8％）に対応するものであり、その留意点は「認知症の人と家族等が参画し、意見を反映させる仕組みを整備した上で計画の策定に着手している場合に評価の対象とする」としています。本町は同項目のア〜オ（20点）をすべて満点で得ている一方、カのみ令和8年度0点です。⚠ 様式を定めることのみで得点が確定するものではありません。様式及び運用手順を定め、認知症の人及び家族等の参画、意見の反映、策定への着手の実績と証跡が確認できた場合に、評価の対象となる可能性があるものです。実際の評価は国の該当状況調査に対する町の回答によります（第3章3-3）。</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0"/>
          <w:szCs w:val="20"/>
        </w:rPr>
        <w:t xml:space="preserve">③　8基本的施策の体系化：基本法第14条から第21条までの8つの基本的施策に対応した町施策の体系化</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KPIの3層構造化：プロセス（活動量）・アウトプット（成果物）・アウトカム（住民の変化）の3層でKPIを設定</w:t>
      </w:r>
    </w:p>
    <w:p>
      <w:pPr>
        <w:spacing w:after="80" w:before="50" w:line="320"/>
        <w:ind w:firstLine="200"/>
        <w:jc w:val="left"/>
      </w:pPr>
      <w:r>
        <w:rPr>
          <w:rFonts w:ascii="游ゴシック" w:cs="游ゴシック" w:eastAsia="游ゴシック" w:hAnsi="游ゴシック"/>
          <w:i w:val="false"/>
          <w:iCs w:val="false"/>
          <w:sz w:val="20"/>
          <w:szCs w:val="20"/>
        </w:rPr>
        <w:t xml:space="preserve">⚠ 基本法第13条第3項において準用する第12条第5項は「適時に」評価を行うことを定めており、毎年度の評価を義務付けているものではありません。本計画が毎年度の評価と意見聴取を行うのは、介護保険事業計画の進行管理（第10章10-2）と一体で行うための本町独自の運用方針です。</w:t>
      </w:r>
    </w:p>
    <w:p>
      <w:pPr>
        <w:spacing w:after="80" w:before="180" w:line="300"/>
      </w:pPr>
      <w:r>
        <w:rPr>
          <w:rFonts w:ascii="游ゴシック" w:cs="游ゴシック" w:eastAsia="游ゴシック" w:hAnsi="游ゴシック"/>
          <w:b w:val="1"/>
          <w:bCs w:val="1"/>
          <w:i w:val="false"/>
          <w:iCs w:val="false"/>
          <w:sz w:val="21"/>
          <w:szCs w:val="21"/>
        </w:rPr>
        <w:t xml:space="preserve">　▌ 本人参画の進め方</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の人及び家族等の参画を、施策の立案・実施・評価の3段階で次のとおり進めます。聴き方は、厚生労働省老人保健健康増進等事業「認知症の本人の声を施策・事業運営に活かしていくためのヒント」（令和7年度）に倣い、「何がしたいですか」と問う形ではなく、認知症カフェ・もの忘れ相談・チームオレンジの活動など本人がいつも過ごしている場に町職員が出向き、共に過ごすなかで語られる言葉を記録する形と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38"/>
        <w:gridCol w:w="114"/>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誰が、何をするか</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記録の様式と本計画での位置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立案（第10期計画の策定）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もの忘れ相談・認知症初期集中支援チームの訪問先・チームオレンジの活動の場・家族介護者の交流の場・国民健康保険川崎病院の6つの場に、保健福祉課の職員と地域包括支援センターの職員が出向いて聴く（令和8年10〜11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様式1（実施計画）・様式2（記録票）・様式3（反映台帳）／6-4第1節1（1）認知症の人及びその家族等からの意見聴取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実施（計画期間中）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認知症本人ミーティングを新設し、保健福祉課の職員が参画する。本人同士が語り合う場として毎回記録し、一人の「やりたい」を既存の事業の見直しによって叶えることから始める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様式2・様式3・様式4（フィードバック記録）／6-4第5節1（1）認知症本人ミーティングの開催</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実施状況の評価結果を取りまとめる前に、本人ミーティング及び認知症カフェで「変わったこと・変わらなかったこと」を聴き、評価の記述に反映する（基本法第13条第3項において準用する第12条第7項）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様式5（評価時の意見聴取）／第10章10-2・10-3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還す（各段階）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聴いた声をどう扱ったかを本人・家族にお返しする。活動の様子は本人の同意を得た写真等で家族にもお返しする。取り上げられなかった声についても、その理由をお返しする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様式4／6-4第5節3（2）意見聴取の結果の施策への反映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意見聴取に当たっては、次のことを対象となる方にあらかじめお伝えし、同意を得たうえで行います。①参加されない場合も、また途中でおやめになる場合も、相談・医療・介護サービスの利用に一切影響しないこと。②聴いた内容は本計画及び町の認知症施策の検討にのみ用い、町の関係課・策定委員会・地域ケア会議に要約の形で共有すること。③計画書及び町ホームページには、個人が特定されない形の要約のみを掲げること。④写真・録画・録音及び引用については、その都度個別に同意を得ること。⑤いつでも同意を撤回でき、撤回された場合は当該の記録を廃棄すること。記録票には氏名を記載せず整理番号（本人Ａ・家族Ａ等）で管理しますが、対照表により個人を再び特定できるため、記録票及び対照表は個人情報として取り扱い、保健福祉課が施錠して保管し、アクセスできる者を担当職員に限り、保管期限（第11期計画の策定完了までを想定）の経過後に廃棄します。本人の意思と家族等の意見は、同じ場で聴いた場合も欄を分けて記録します。国民健康保険川崎病院の外来や相談の場で聴く場合は、診療・相談の待ち時間を用いることの任意性を特にご配慮いただきます。以上の運用は町と協議のうえ確定します［要協議・確認事項No.146］。</w:t>
      </w:r>
    </w:p>
    <w:p>
      <w:pPr>
        <w:spacing w:after="80" w:before="180" w:line="300"/>
      </w:pPr>
      <w:r>
        <w:rPr>
          <w:rFonts w:ascii="游ゴシック" w:cs="游ゴシック" w:eastAsia="游ゴシック" w:hAnsi="游ゴシック"/>
          <w:b w:val="1"/>
          <w:bCs w:val="1"/>
          <w:i w:val="false"/>
          <w:iCs w:val="false"/>
          <w:sz w:val="21"/>
          <w:szCs w:val="21"/>
        </w:rPr>
        <w:t xml:space="preserve">　▌ 庁内の部署横断的な検討の場</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は保健福祉課だけで完結しません。本章及び第5章に掲げる認知症関係の事業の所管には、保健福祉課・地域包括支援センターのほか、町民生活課（交通の安全の確保・消費者被害の防止）、地域振興課（移動のための交通手段の確保）、企画課（若年性認知症の人の就労）、教育委員会（学校における認知症サポーターの養成）、総務担当課（災害時の高齢者支援）、社会福祉協議会・民生委員が現れます。手引き3.1（4）は部署横断的な対応を求めており、認知症施策推進基本計画のKPIも「部署横断的に認知症施策の検討を実施している地方公共団体の数」を重点目標3のプロセス指標として掲げ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そこで本町では、これらの関係課を集めた認知症施策の検討の場を年1回以上設けます。この場は、保険者機能強化推進交付金の評価指標「評価結果の活用」のア（年に1回以上、評価結果を庁内の関係者間で説明・共有する場がある。配点4点・本町は令和8年度0点）が求める場と兼ねることができ、新たな会議体を設けずに、既存の庁内会議に議題を加えることで足ります（第8章8-4・第10章10-4）。</w:t>
      </w:r>
    </w:p>
    <w:p>
      <w:pPr>
        <w:spacing w:after="80" w:before="180" w:line="300"/>
      </w:pPr>
      <w:r>
        <w:rPr>
          <w:rFonts w:ascii="游ゴシック" w:cs="游ゴシック" w:eastAsia="游ゴシック" w:hAnsi="游ゴシック"/>
          <w:b w:val="1"/>
          <w:bCs w:val="1"/>
          <w:i w:val="false"/>
          <w:iCs w:val="false"/>
          <w:sz w:val="21"/>
          <w:szCs w:val="21"/>
        </w:rPr>
        <w:t xml:space="preserve">　▌ 他の計画との連動</w:t>
      </w:r>
    </w:p>
    <w:p>
      <w:pPr>
        <w:spacing w:after="80" w:before="50" w:line="320"/>
        <w:ind w:firstLine="200"/>
        <w:jc w:val="left"/>
      </w:pPr>
      <w:r>
        <w:rPr>
          <w:rFonts w:ascii="游ゴシック" w:cs="游ゴシック" w:eastAsia="游ゴシック" w:hAnsi="游ゴシック"/>
          <w:i w:val="false"/>
          <w:iCs w:val="false"/>
          <w:sz w:val="20"/>
          <w:szCs w:val="20"/>
        </w:rPr>
        <w:t xml:space="preserve">基本法第13条第2項が調和を求めるのは、市町村地域福祉計画・市町村老人福祉計画・市町村介護保険事業計画その他認知症施策に関連する事項を定める計画です。手引き3.1（3）は、これらとの整合はもとより、総合計画・健康関連計画・子育て関連計画・教育関連計画・都市再生・交通計画・防災関連計画といった町の各種計画との連動・連携も意識することが重要であるとしています。本町の認知症施策と各計画との連動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44"/>
        <w:gridCol w:w="78"/>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計画・分野</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連動のさせ方</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川崎町高齢者保健福祉計画・介護保険事業計画（本計画）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認知症施策推進計画を本計画の独立章（第6章）として一体的に策定する。基本法第13条第2項の調和を計画の一体化により確保する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第1章1-2・第6章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重層的支援体制整備事業との連動、成年後見制度の利用促進、日常生活自立支援事業、移送サービスを共通の論点として整理する（両計画はジャパン総研が策定）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第1章1-2・5-4第2節1（8）・6-4第5節2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基本方針「子供も大人も誰もが健やかに暮らせるまちづくり」との整合を確保し、認知症の人を含む共生社会の実現を町のまちづくりの方針の中に位置付ける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第1章1-2・第4章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健康増進計画・特定健診等実施計画（健康関連）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難聴の早期発見・早期介入、生活習慣病対策、口腔機能の維持・向上、フレイル予防を認知症の予防等（法第21条）と一体で進める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5-1・6-4第2節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学校教育（教育関連）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小中学校における認知症サポーターの養成を、認知症の人の参画も得ながら進める。教育委員会と連携する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6-4第4節1（4）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地域公共交通に関する計画（交通）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福祉移送サービス・デマンドバス・外出支援の3制度により、認知症の人が通いの場や相談の場に通える移動手段を確保する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5-3・6-4第3節1（7）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地域防災計画・避難行動要支援者名簿（防災）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認知症の人を避難行動要支援者名簿及び個別避難計画の対象として位置付ける。調査で確かめた転倒経験・転倒不安の高さを優先度の検討に活かす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5-2第2節・6-4第3節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過疎地域持続的発展市町村計画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認知症施策のうち財源を要するものについて、過疎債ソフト分の活用の可否を検討する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第9章・第10章</w:t>
            </w:r>
          </w:p>
        </w:tc>
      </w:tr>
    </w:tbl>
    <w:p>
      <w:pPr>
        <w:spacing w:after="100" w:before="200" w:line="320"/>
      </w:pPr>
      <w:r>
        <w:rPr>
          <w:rFonts w:ascii="游ゴシック" w:cs="游ゴシック" w:eastAsia="游ゴシック" w:hAnsi="游ゴシック"/>
          <w:b w:val="1"/>
          <w:bCs w:val="1"/>
          <w:i w:val="false"/>
          <w:iCs w:val="false"/>
          <w:sz w:val="26"/>
          <w:szCs w:val="26"/>
        </w:rPr>
        <w:t xml:space="preserve">6-2　認知症施策の体系（8基本的施策）</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第14条から第21条までの8つの基本的施策と、川崎町の対応施策を以下のとおり対応付けます。同法第3章（基本的施策）は第14条から第25条までの12条で構成されていますが、第14条から第21条までが「国及び地方公共団体は」を主語とするのに対し、第22条から第25条まで（調査の実施・多様な主体の連携・地方公共団体に対する支援・国際協力）は「国は」を主語としており、市町村が計画に位置付ける施策ではないため本表には掲げていません。厚生労働省の同法の概要も、基本的施策を8項目とし、第22条以降を「※その他」として区別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基本的施策（条文が例示する手立て）</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認知症の人に関する国民の理解の増進等</w:t>
              <w:br/>
              <w:t xml:space="preserve">（学校教育・社会教育における認知症教育の推進、正しい理解を深めるための運動の展開）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の継続（令和7年3月31日577人。町提供データの累計は642人・確認中）。小中学校・企業でのサポーター養成の拡大。認知症の日（9月21日）・認知症月間（9月1日〜30日）の事業及び行事（第9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認知症の人の生活におけるバリアフリー化の推進</w:t>
              <w:br/>
              <w:t xml:space="preserve">（移動のための交通手段の確保、交通の安全の確保、地域において認知症の人を見守るための体制の整備。第2項は事業者との連携による製品・サービスの開発普及等）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3制度（福祉移送サービス・デマンドバス・外出支援）による交通手段の確保。ユニバーサルサポーター制度による地域の見守り体制。公共交通事業者等・金融機関・小売業者等への協力の働きかけ（第7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認知症の人の社会参加の機会の確保等</w:t>
              <w:br/>
              <w:t xml:space="preserve">（認知症に係る経験等を共有できる機会の確保、社会参加の機会の確保。第2項は若年性認知症の人等の雇用の継続・円滑な就職）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認知症カフェ「喫茶みかん」の運営継続（年47回・延235人）。チームオレンジの活動の充実。認知症本人ミーティングの新設。若年性認知症の人の就労に関する事業主への啓発［要協議］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認知症の人の意思決定の支援及び権利利益の保護</w:t>
              <w:br/>
              <w:t xml:space="preserve">（意思決定支援に関する指針の策定、分かりやすい形での情報提供、消費生活における被害を防止するための啓発）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成年後見制度の利用促進、日常生活自立支援事業の活用、意思決定支援研修の実施、消費者被害の防止の啓発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保健医療サービス及び福祉サービスの提供体制の整備等</w:t>
              <w:br/>
              <w:t xml:space="preserve">（居住する地域にかかわらず等しく適切な医療、地域包括ケアシステムを通じた適時かつ切れ目のない提供、専門的知識・技術を有する人材の確保・養成）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国保川崎病院との連携強化。認知症対応型共同生活介護の必要利用定員総数の確保（第9章9-1）。認知症地域支援推進員の配置（令和6年度の業務の種類は6・全国平均5.27。人数は確認中［要確認］）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相談体制の整備等</w:t>
              <w:br/>
              <w:t xml:space="preserve">（関係機関・民間団体相互の有機的連携の下での総合的な相談体制、認知症の人又は家族等が孤立しないための交流活動への支援）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地域包括支援センター（社協運営）における認知症相談窓口の充実、もの忘れ相談の継続（年12回）。窓口の認知度47.7％の向上。家族介護者の交流の場の確保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研究等の推進等</w:t>
              <w:br/>
              <w:t xml:space="preserve">（本態解明・予防・診断・治療等の研究、社会参加の在り方等の調査研究と成果の活用）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国の研究成果の活用と普及。認知症の人及び家族等の意見聴取の結果の施策への反映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認知症の予防等</w:t>
              <w:br/>
              <w:t xml:space="preserve">（希望する者が科学的知見に基づく予防に取り組めるようにする施策、早期発見・早期診断・早期対応の推進のための地域包括支援センター・医療機関・民間団体等の連携協力体制の整備）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介護予防事業を通じた予防の啓発と地域における活動の推進。認知症初期集中支援チームによる早期対応（地域包括支援センター・国保川崎病院・民間団体の連携協力体制）。もの忘れ相談による早期発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手引き3.1（3）は「基本計画に記載されている全ての施策を実施する必要があるわけではなく、各地域における目指すべき姿の実現のために必要な施策を検討することが重要」としています。手引き3.4（1）の施策対応表のうち主な対応主体に市町村が含まれるものは47項目ありますが、本町の規模及び地域資源から、第10期では次の6項目に対応する事業を設けません。①司法職員に対する働きかけ　②高齢者に対するスマートフォンの活用の推進（見守りＱＲコード活用事業が実質的な代替となります）③高齢者等終身サポート事業者ガイドラインの周知（町内に該当する事業者がない見込み）④居住支援法人・居住支援協議会の取組の支援（宮城県の所管であり、地域福祉計画との整合の中で扱います）⑤認知症リハビリテーションの推進（通所・訪問リハビリテーションの中で扱います）⑥精神科病院からの早期の地域移行（町内に精神科病院はなく、町外施設利用・住所地特例への対応の中で把握します）。これらは、必要が生じた場合に計画期間中に追加します。</w:t>
      </w:r>
    </w:p>
    <w:p>
      <w:pPr>
        <w:spacing w:after="100" w:before="200" w:line="320"/>
      </w:pPr>
      <w:r>
        <w:rPr>
          <w:rFonts w:ascii="游ゴシック" w:cs="游ゴシック" w:eastAsia="游ゴシック" w:hAnsi="游ゴシック"/>
          <w:b w:val="1"/>
          <w:bCs w:val="1"/>
          <w:i w:val="false"/>
          <w:iCs w:val="false"/>
          <w:sz w:val="26"/>
          <w:szCs w:val="26"/>
        </w:rPr>
        <w:t>6-3　重点施策とKPI</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基本法の8つの基本的施策（第14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1"/>
          <w:szCs w:val="21"/>
        </w:rPr>
        <w:t xml:space="preserve">　▌ 第9期からの見直し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手引き3.1（3）は、介護保険事業計画等と一体的に策定する場合、第9期計画の評価・見直しの段階から手引きの留意事項を踏まえることが重要であるとしています。第9期の認知症施策から次の4点を見直します。①第9期は認知症基本法第13条が求める手続のうち計画の策定以外（意見聴取・公表・実施状況の評価・少なくとも5年ごとの検討）を行っていませんでした。第10期は6-4第1節に5事業として位置付けます。②認知症の日（9月21日）・認知症月間（9月）に対応する取組がありませんでした（基本法第9条）。第10期は6-4第6節に2事業として位置付けます。③認知症サポーターの人数を増やすことに置いていた重点を、ステップアップ講座を修了した担い手（27人・全国188位）の活動の場の確保に移します。④認知症初期集中支援チームの訪問件数が令和5年度80件から令和7年度見込12件へ減少しています。件数の回復だけを目標とするのではなく、独居や身寄りのない方・複合的な課題を抱えた世帯への支援にチームの働きを向け直します。</w:t>
      </w:r>
    </w:p>
    <w:p>
      <w:pPr>
        <w:spacing w:after="80" w:before="180" w:line="300"/>
      </w:pPr>
      <w:r>
        <w:rPr>
          <w:rFonts w:ascii="游ゴシック" w:cs="游ゴシック" w:eastAsia="游ゴシック" w:hAnsi="游ゴシック"/>
          <w:b w:val="1"/>
          <w:bCs w:val="1"/>
          <w:i w:val="false"/>
          <w:iCs w:val="false"/>
          <w:sz w:val="21"/>
          <w:szCs w:val="21"/>
        </w:rPr>
        <w:t xml:space="preserve">　▌ 重点施策（5本柱）</w:t>
      </w:r>
    </w:p>
    <w:p>
      <w:pPr>
        <w:spacing w:after="80" w:before="50" w:line="320"/>
        <w:ind w:firstLine="200"/>
        <w:jc w:val="left"/>
      </w:pPr>
      <w:r>
        <w:rPr>
          <w:rFonts w:ascii="游ゴシック" w:cs="游ゴシック" w:eastAsia="游ゴシック" w:hAnsi="游ゴシック"/>
          <w:i w:val="false"/>
          <w:iCs w:val="false"/>
          <w:sz w:val="20"/>
          <w:szCs w:val="20"/>
        </w:rPr>
        <w:t xml:space="preserve">J-1（サポーター拡大）とJ-3（認知症カフェ等）は既存施策の質的拡充、J-2（チームオレンジ）は令和6年度に整備されたチームの活動の充実、J-3の本人ミーティングは基本法対応の新規整備、J-4（早期発見・対応）とJ-5（医療連携）は本町の医療資源（国民健康保険川崎病院）を活かした体制強化として位置付けます。J-4は、認知症基本法第21条第2項が定める「早期発見、早期診断及び早期対応を推進するための地域包括支援センター、医療機関、民間団体等の間における連携協力体制の整備」に当たります。認知症初期集中支援チームの訪問件数が令和5年度80件から令和7年度見込12件へ減少していることを踏まえ、活動量の回復を含めて検討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令和7年3月31日577人・交付金の集計）を基盤に、企業・学校サポーターを増やし、活動の質を向上。ステップアップ講座修了者27人（全国188位）の活動の場を確保。キャラバンメイト（累計80名）の活動の場を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令和6年度に整備したチームオレンジについて、チーム数・メンバー数・支援した認知症の人の数で活動を管理し、本人・家族支援を実践［要確認］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認知症カフェ「喫茶みかん」の運営継続（年47回）。認知症本人ミーティングの新設。認知症の日・認知症月間の行事（第9条）と併せて実施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認知症初期集中支援チームの活動量の回復（訪問件数 令和5年度80件→令和7年度見込12件）、認知症地域支援推進員の配置、もの忘れ相談の継続。基本法第21条第2項の連携協力体制の整備に当たる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KPIの3層構造</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なお、令和8年度の保険者努力支援交付金の活動指標では、認知症に関する目標Ⅱ（ⅱ）で36点満点中18点（全国平均13.29点）を得ています。認知症サポーター数は高齢者人口10万人当たり17,694人で全国1,592位、ステップアップ講座修了者数は同828人で全国188位（全国平均330人）です。サポーターの人数より、ステップアップした担い手の活動の場を確保することに重点を置き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
        <w:gridCol w:w="65"/>
        <w:gridCol w:w="180"/>
        <w:gridCol w:w="120"/>
        <w:gridCol w:w="80"/>
      </w:tblGrid>
      <w:tr>
        <w:tc>
          <w:tcPr>
            <w:tcW w:type="dxa" w:w="5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層</w:t>
            </w:r>
          </w:p>
        </w:tc>
        <w:tc>
          <w:tcPr>
            <w:tcW w:type="dxa" w:w="6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対応する国の重点目標</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br/>
              <w:t xml:space="preserve">（活動量）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認知症サポーター養成講座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【町確認】（受講者は令和7年度見込5人）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認知症カフェ 年間開催回数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47回（令和7年度見込）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認知症の日・認知症月間の事業・行事の実施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─（第9条に対応する取組がない）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毎年度実施</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認知症本人ミーティングの開催回数（保健福祉課の職員が参画するもの）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年2回以上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庁内の部署横断的な認知症施策の検討の場の開催回数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─（設けていない）</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br/>
              <w:t xml:space="preserve">（成果物）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577人（交付金・令和7年3月31日）</w:t>
              <w:br/>
              <w:t xml:space="preserve">642人（町提供データ・令和7年度見込）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認知症サポーターステップアップ講座修了者数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27人（令和7年3月31日・全国188位）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チームオレンジ 活動状況（チーム数・メンバー数・支援した認知症の人の数）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整備済（令和6年度〜）［要確認］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チーム数・支援件数を把握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認知症初期集中支援チーム 訪問件数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12件（令和7年度見込）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意思決定支援研修の実施と参加者数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年1回以上・参加者数を把握</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認知症対応力向上研修の受講者数（宮城県の研修）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把握して増加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br/>
              <w:t xml:space="preserve">（住民の変化）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認知症サポーター及び町職員の認知症観の変化（認知症の人が失敗しそうな場面で、本人のやりたいことを優先して見守れるようになったと答えた人の割合）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【委員会協議】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重点目標2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意見聴取において「自分の思いを伝えられる相手がいる」と語られた件数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─（第10期に新たに測る）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増加</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指標は、国の認知症施策推進基本計画が掲げる重点目標1〜3に対応させています。重点目標1「国民一人一人が『新しい認知症観』を理解していること」、重点目標2「認知症の人の生活においてその意思等が尊重されていること」、重点目標3「認知症の人・家族等が他の人々と支え合いながら地域で安心して暮らすことができること」です。手引き3.3は、プロセス・アウトプット・アウトカムの3層が「相互に関連する一連の流れ」であり、アウトカムを把握するにはアウトプットを、アウトプットを把握するにはプロセス（施策の立案・実施・評価の過程）を把握する必要があるとし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 アウトカム指標を2つ入れ替えました。Ver.2.1までは「認知症の人と家族の地域生活満足度」を掲げていましたが、本町が令和8年に実施した2調査に該当する設問がなく測れないためです。手引き3.3は「各自治体において地域の目標に沿った形で独自の指標を設けることも考えられます」としており、また厚生労働省老人保健健康増進等事業の「認知症の本人の声を施策・事業運営に活かしていくためのヒント」は、開催回数や参加人数だけでなく、認知症の人に関わる人々の認知症観の変化を指標に据えた自治体の例を挙げています。これに倣い、サポーター及び町職員の認知症観の変化と、意見聴取の記録から把握する本人の言葉に置き換え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 手引き3.3は「KPIはあくまで認知症施策の効果を評価することを目的としたものであり、最終的には市町村ごとの地域における認知症に関するビジョンを実現することが目標であることから、KPIの値を高めること自体が目標ではない」としています。本町も、指標の数値を追うことではなく、6-1に掲げた目指す姿に近づいているかどうかを毎年度確かめるために指標を用います（第10章10-2・10-3）。</w:t>
      </w:r>
    </w:p>
    <w:p>
      <w:pPr>
        <w:spacing w:after="80" w:before="80" w:line="280"/>
        <w:ind w:left="288"/>
      </w:pPr>
      <w:r>
        <w:rPr>
          <w:rFonts w:ascii="游ゴシック" w:cs="游ゴシック" w:eastAsia="游ゴシック" w:hAnsi="游ゴシック"/>
          <w:i/>
          <w:iCs/>
          <w:sz w:val="20"/>
          <w:szCs w:val="20"/>
        </w:rPr>
        <w:t xml:space="preserve">⚠ 認知症の人及びその家族等からの意見聴取は、認知症基本法第13条第3項において準用する第12条第3項に基づく計画の策定手続です。郵送のアンケート調査とは別チャネル（地域包括支援センター・国保川崎病院経由）で令和8年10〜11月に実施し、計画書案の作成前に本章へ反映します。対象者の選定（認知症カフェの参加者・初期集中支援チームの対象者等）は町と協議のうえ決定します［要協議］。</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6"/>
          <w:szCs w:val="26"/>
        </w:rPr>
        <w:t xml:space="preserve">6-4　認知症施策の体系（6節8項28事業）</w:t>
      </w:r>
    </w:p>
    <w:p>
      <w:pPr>
        <w:spacing w:after="80" w:before="50" w:line="320"/>
        <w:ind w:firstLine="200"/>
        <w:jc w:val="left"/>
      </w:pPr>
      <w:r>
        <w:rPr>
          <w:rFonts w:ascii="游ゴシック" w:cs="游ゴシック" w:eastAsia="游ゴシック" w:hAnsi="游ゴシック"/>
          <w:i w:val="false"/>
          <w:iCs w:val="false"/>
          <w:sz w:val="20"/>
          <w:szCs w:val="20"/>
        </w:rPr>
        <w:t xml:space="preserve">本章の施策を、別冊「施策・事業の体系（Ｃ案）」の柱5（認知症施策の推進）の節・項の単位で掲げます。認知症基本法第14条から第21条までの8つの基本的施策のすべてに対応する事業を置いたうえで、第9条（認知症の日・認知症月間）及び第13条（計画の策定手続）への対応を加えており、6節8項28事業（ほかに再掲4）で構成されます。</w:t>
      </w:r>
    </w:p>
    <w:p>
      <w:pPr>
        <w:spacing w:after="80" w:before="180" w:line="300"/>
      </w:pPr>
      <w:r>
        <w:rPr>
          <w:rFonts w:ascii="游ゴシック" w:cs="游ゴシック" w:eastAsia="游ゴシック" w:hAnsi="游ゴシック"/>
          <w:b w:val="1"/>
          <w:bCs w:val="1"/>
          <w:i w:val="false"/>
          <w:iCs w:val="false"/>
          <w:sz w:val="21"/>
          <w:szCs w:val="21"/>
        </w:rPr>
        <w:t xml:space="preserve">　▌ 第１節 計画の策定・推進の手続（1項5事業）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認知症施策推進計画としての手続（法第13条）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第２節 認知症の早期発見・早期対応の推進（1項4事業）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認知症の早期発見・早期対応の推進（法第18条・第21条）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（２）もの忘れ相談の充実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（３）認知症の早期発見・早期治療の体制づくりの推進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（４）難聴高齢者の早期発見・早期介入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保健福祉課・国保川崎病院</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第３節 認知症地域支援・ケア向上の推進（1項8事業）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認知症地域支援・ケア向上の推進（法第15条・第18条・第19条）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（１）認知症地域支援推進員の配置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（２）認知症についての周知・啓発とネットワークの推進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（３）認知症カフェ（喫茶みかん）の運営支援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（４）認知症の人と家族の相談支援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（５）認知症高齢者等見守りＱＲコード活用事業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（６）認知症高齢者見守り体制の整備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保健福祉課・社会福祉協議会・民生委員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（７）移動のための交通手段の確保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地域振興課・社会福祉協議会・NPO法人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（８）交通の安全の確保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第４節 認知症サポーター活動促進・地域づくりの推進（1項5事業）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認知症サポーター活動促進・地域づくりの推進（法第14条）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（２）認知症キャラバンメイトの養成・活動支援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（５）認知症の人と家族を支える人材の育成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第５節 認知症の人の社会参加・権利利益の保護（3項8事業）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社会参加の機会の確保（法第16条）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意思決定の支援及び権利利益の保護（法第17条）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（１）成年後見制度の利用促進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（４）消費者被害の防止の啓発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調査研究の成果の活用（法第20条）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180" w:line="300"/>
      </w:pPr>
      <w:r>
        <w:rPr>
          <w:rFonts w:ascii="游ゴシック" w:cs="游ゴシック" w:eastAsia="游ゴシック" w:hAnsi="游ゴシック"/>
          <w:b w:val="1"/>
          <w:bCs w:val="1"/>
          <w:i w:val="false"/>
          <w:iCs w:val="false"/>
          <w:sz w:val="21"/>
          <w:szCs w:val="21"/>
        </w:rPr>
        <w:t xml:space="preserve">　▌ 第６節 認知症の日・認知症月間（1項2事業）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6"/>
        <w:gridCol w:w="176"/>
        <w:gridCol w:w="32"/>
        <w:gridCol w:w="96"/>
      </w:tblGrid>
      <w:tr>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w:t>
            </w:r>
          </w:p>
        </w:tc>
        <w:tc>
          <w:tcPr>
            <w:tcW w:type="dxa" w:w="17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認知症の日・認知症月間（法第9条）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「再掲」は、他の柱に掲げた事業のうち認知症施策としても位置付けるものです。事業数（28事業）には再掲4件を含めていません。</w:t>
      </w:r>
    </w:p>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新たに立てる事業・広げる事業（新規13件・拡充4件）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（１）認知症の人及びその家族等からの意見聴取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計画書案の作成前に実施する。対象者の選定（認知症カフェの参加者・初期集中支援チームの対象者等）は町と協議のうえ決定する（確認事項No.90）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（２）計画の公表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法：第13条第3項において準用する第12条第4項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第9期計画では行っていなかった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（３）実施状況の評価と結果の公表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法：第13条第3項において準用する第12条第5項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交付金の評価指標「進捗状況の評価に当たり認知症の当事者の意見を聴いているか」と同内容（確認事項No.93）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（４）少なくとも5年ごとの検討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法：第13条第3項において準用する第12条第6項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介護保険事業計画の3年周期の見直しにより満たす。第12条第7項は、評価結果の取りまとめ時及び計画の変更時の意見聴取等を定めるものである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（５）他の計画との調和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法：第13条第2項（地域福祉計画・老人福祉計画・介護保険事業計画等）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本計画を一体の計画として策定することにより調和を確保する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（１）認知症初期集中支援推進事業【重点】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実：訪問件数が令和5年度80件→令和6年度42件→令和7年度見込12件と2年で85％減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法第21条第2項の連携協力体制の整備に当たる。活動量の回復を図る場合は目標値を別に定める（確認事項No.89・No.96）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（１）認知症サポーター養成講座の開催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交：「認知症サポーター数」0／12点・県内22位。令和7年3月31日時点577人。高齢者人口10万人当たり17,694人で全国1,592位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町提供データの累計642人との食い違いを確認中（確認事項No.94）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（３）チームオレンジの整備・活動支援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交：ステップアップ講座修了者828人で全国188位（全国平均330人）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令和6年度に整備済み。第10期は活動の充実とチーム数の拡大。本町の強みは人数ではなく担い手の層（確認事項No.87）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（４）企業・学校等における認知症サポーターの養成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法：認知症基本法第14条（学校教育・社会教育における認知症教育の推進）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（１）認知症本人ミーティングの開催</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法：認知症基本法第16条第1項（経験等を共有できる機会・社会参加の機会の確保）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（２）若年性認知症の人の就労継続に関する事業主への啓発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法：認知症基本法第16条第2項（雇用の継続・円滑な就職）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町における該当者の把握状況とあわせて確認中（確認事項No.95）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（２）日常生活自立支援事業の活用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（３）意思決定支援研修の実施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法：認知症基本法第17条（意思決定支援に関する指針）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（１）国の研究成果の活用と普及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体系（案）に対応する事業がなかった（確認事項No.112）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（２）意見聴取の結果の施策への反映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法：認知症基本法第20条（社会参加の在り方等の調査研究と成果の活用）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第1節1(1)の意見聴取と一体で運用する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（１）認知症の日（9月21日）にふさわしい事業の実施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法：認知症基本法第9条第2項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本町には現在これに当たる取組がない。認知症カフェ・サポーター養成講座を9月に集中させる等、既存の事業で対応できる余地がある（確認事項No.92）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（２）認知症月間（9月1日〜30日）の行事の奨励</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法：認知症基本法第9条第3項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素案Ver.1.18までは「世界アルツハイマー月間」としていたが、これは国際的な呼称であり法定の認知症の日・認知症月間とは別のもの</w:t>
            </w:r>
          </w:p>
        </w:tc>
      </w:tr>
    </w:tbl>
    <w:p>
      <w:pPr>
        <w:spacing w:after="80" w:before="180" w:line="300"/>
      </w:pPr>
      <w:r>
        <w:rPr>
          <w:rFonts w:ascii="游ゴシック" w:cs="游ゴシック" w:eastAsia="游ゴシック" w:hAnsi="游ゴシック"/>
          <w:b w:val="1"/>
          <w:bCs w:val="1"/>
          <w:i w:val="false"/>
          <w:iCs w:val="false"/>
          <w:sz w:val="21"/>
          <w:szCs w:val="21"/>
        </w:rPr>
        <w:t xml:space="preserve">　▌ 第2回策定委員会でご判断いただく事業の追加候補（15件）</w:t>
      </w:r>
    </w:p>
    <w:p>
      <w:pPr>
        <w:spacing w:after="80" w:before="50" w:line="320"/>
        <w:ind w:firstLine="200"/>
        <w:jc w:val="left"/>
      </w:pPr>
      <w:r>
        <w:rPr>
          <w:rFonts w:ascii="游ゴシック" w:cs="游ゴシック" w:eastAsia="游ゴシック" w:hAnsi="游ゴシック"/>
          <w:i w:val="false"/>
          <w:iCs w:val="false"/>
          <w:sz w:val="20"/>
          <w:szCs w:val="20"/>
        </w:rPr>
        <w:t xml:space="preserve">厚生労働省「都道府県・市町村向け認知症施策推進計画策定の手引き」3.4（1）の施策対応表（主な対応主体に市町村が含まれるもの47項目）及び認知症施策推進基本計画の重点目標1〜3のKPI（24指標）と本章を突き合わせたところ、次の15件が本章に位置付けられていませんでした。施策体系（7章17節37項143事業）は第2回策定委員会の選択1により確定するため、本表は追加の候補として掲げるものです。手引き3.1（3）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費用区分は、追加の予算措置を要するかどうかの区分です。「既存人員・既存事業内で実施可能」としたものも担当職員の時間を要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120"/>
        <w:gridCol w:w="190"/>
        <w:gridCol w:w="70"/>
        <w:gridCol w:w="8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追加候補の事業又は内容</w:t>
            </w:r>
          </w:p>
        </w:tc>
        <w:tc>
          <w:tcPr>
            <w:tcW w:type="dxa" w:w="1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7は「基本法の趣旨を踏まえた認知症ケアパスの作成・更新・周知を行っている市町村の数」で、24指標のうち市町村の数を直接数える唯一の指標である（法定の必須成果物として定められたものではない）。交付金 支援 目標Ⅱ（ⅰ）2アの留意点でもケアパスの配布が例示されている。⚠ 本町における作成の有無・最終更新日・配布実績・ホームページ掲載の状況を確認中であり（確認事項No.137）、未作成であれば新規、更新が止まっていれば更新、作成・周知済みであれば継続・改善として整理す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編集は既存人員。印刷費は部数により積算（一般財源）。確認事項No.137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認知症バリアフリーの取組と地域の関係機関との連携（金融機関・小売業者・公共交通事業者）（第3節）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手引き2（1）2・2（1）9。国のKPI 重点目標3アウトプット指標5は「認知症バリアフリー宣言を行っている事業者の数」。6-2の第15条の欄には記しているが本節に事業がない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訪問・会議の旅費のみ。確認事項No.143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重点目標2プロセス指標1・手引き3（1）1。5-3第1節3（2）のピアサポートは家族介護者のものであり別である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包括的支援事業（認知症総合支援事業）。本人ミーティングと一体で実施する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認知症の人の社会参加の支援（農業、商品の製造・販売、食堂の運営、地域活動やマルシェ等）（第5節1）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手引き3（2）2。交付金 支援 目標Ⅱ（ⅰ）1オ（4点）を本町は満点で得ており、実態としては行われている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現に行われている取組の確認が先。確認事項No.145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認知症サポーター養成講座への認知症の人の参画（第4節1（1）（4））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重点目標1プロセス指標2・手引き1（1）1・1（2）1。本人が受講者にメッセージを送る、受講者と対話する、講座の内容を本人の意見も踏まえて構成する、のいずれかで足りる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本人の交通費・謝金の要否を町と協議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本人発信支援と認知症希望大使の招請（第4節）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重点目標1プロセス指標3・手引き1（3）1・1（3）3・3（2）1。意見聴取において「第三者の力を借りる」手段としても有効である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認知症サポート医・認知症疾患医療センターの周知（第2節1（2）（3））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手引き5（2）1・6（1）2。交付金 支援 目標Ⅱ（ⅰ）2アの留意点も両者の周知を求めている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ケアパス又は広報・ホームページによる。確認事項No.138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認知症地域支援推進員の業務の明示（就労支援・診断後支援・ピアサポートを含む）（第3節1（1））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国のKPI 重点目標3アウトプット指標4は「就労支援も含めて個別の相談・支援を実施していることを明示した認知症地域支援推進員」を数える。手引き5（2）3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要綱・事業計画の記述の改めによる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行動・心理症状（BPSD）への対応力向上研修及び「新しい認知症観」を踏まえた認知症対応力向上研修（第4節1（5））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手引き5（1）3・5（3）1。国のKPI 重点目標3アウトプット指標3は受講者数を数える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宮城県の研修を活用。確認事項No.140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宮城県の若年性認知症支援コーディネーターとの連携（第5節1（2））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手引き3（3）3・5（2）4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連絡・同行に係る旅費のみ。確認事項No.144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重層的支援体制整備事業との連動（5-4第2節1（8））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災害発生時の高齢者支援対策（5-2第2節）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手引き2（1）8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高齢者虐待の早期発見、早期解決（5-4第2節1（7））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手引き4（4）1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通いの場等による介護予防（5-1・5-4第1節）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手引き8（1）1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介護予防・日常生活支援総合事業（現行の財源のまま）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認知症の人と家族への一体的支援事業・認知症伴走型支援事業（第3節1（3）（4））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手引き6（1）1。いずれも地域支援事業（任意事業）である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任意事業。実施の可否を町にご判断いただく。確認事項No.141</w:t>
            </w:r>
          </w:p>
        </w:tc>
      </w:tr>
    </w:tbl>
    <w:p>
      <w:pPr>
        <w:spacing w:after="80" w:before="180" w:line="300"/>
      </w:pPr>
      <w:r>
        <w:rPr>
          <w:rFonts w:ascii="游ゴシック" w:cs="游ゴシック" w:eastAsia="游ゴシック" w:hAnsi="游ゴシック"/>
          <w:b w:val="1"/>
          <w:bCs w:val="1"/>
          <w:i w:val="false"/>
          <w:iCs w:val="false"/>
          <w:sz w:val="21"/>
          <w:szCs w:val="21"/>
        </w:rPr>
        <w:t xml:space="preserve">　▌ 追加候補の見込量・費用・財源の枠組み</w:t>
      </w:r>
    </w:p>
    <w:p>
      <w:pPr>
        <w:spacing w:after="80" w:before="50" w:line="320"/>
        <w:ind w:firstLine="200"/>
        <w:jc w:val="left"/>
      </w:pPr>
      <w:r>
        <w:rPr>
          <w:rFonts w:ascii="游ゴシック" w:cs="游ゴシック" w:eastAsia="游ゴシック" w:hAnsi="游ゴシック"/>
          <w:i w:val="false"/>
          <w:iCs w:val="false"/>
          <w:sz w:val="20"/>
          <w:szCs w:val="20"/>
        </w:rPr>
        <w:t xml:space="preserve">追加候補15件について、見込量の置き方・費用の考え方・財源を次のとおり整理します。金額は、実施方法が確定した段階で積算します。現時点で金額を確定できないため、第9章9-1のサービス見込量及び地域支援事業費には反映していません。地域支援事業として実施するものは、第9章9-3に示す財源構成により保険料に影響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5"/>
        <w:gridCol w:w="96"/>
        <w:gridCol w:w="144"/>
        <w:gridCol w:w="67"/>
        <w:gridCol w:w="78"/>
      </w:tblGrid>
      <w:tr>
        <w:tc>
          <w:tcPr>
            <w:tcW w:type="dxa" w:w="1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追加候補の事業</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見込量の置き方</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費用の考え方</w:t>
            </w:r>
          </w:p>
        </w:tc>
        <w:tc>
          <w:tcPr>
            <w:tcW w:type="dxa" w:w="6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費用区分</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認知症ケアパスの作成・更新・周知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作成1回・更新（3年に1回）・配布部数／年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編集は既存人員。印刷費＝部数×単価。町の既存の配布物の単価により積算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一般財源。国庫補助事業の活用の可否を確認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認知症バリアフリーの取組と地域の関係機関との連携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働きかけを行った事業者数／年・宣言を行った事業者数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会議・訪問に係る旅費のみ。謝金は要しない見込み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認知症の本人同士のピアサポート活動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開催回数／年・参加者数（本人ミーティングと一体で把握）</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会場費・茶菓代・記録の作成。既存の認知症カフェの場を用いる場合は追加費用が小さい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認知症の人の社会参加の支援（農業・製造販売・食堂等）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参加された方の人数・活動の回数／年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現に行われている取組の内容の確認が先（確認事項No.145）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サポーター養成講座への認知症の人の参画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本人が参画した講座の回数／年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本人の交通費・謝金の要否を町と協議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本人発信支援・認知症希望大使の招請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招請の回数／年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宮城県の認知症希望大使の招請に係る旅費・謝金。県事業の枠組みを確認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県事業の活用又は一般財源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認知症サポート医・認知症疾患医療センターの周知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周知の方法と回数／年（ケアパス・広報・ホームページ）</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ケアパスの印刷費に含める。広報・ホームページは追加費用を要しない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認知症地域支援推進員の業務の明示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推進員の人数・業務の種類（令和6年度は6種類・全国平均5.27）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配置は現に行われており、業務の明示は要綱・事業計画の記述の改めによる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BPSD対応力向上研修・「新しい認知症観」を踏まえた研修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受講者数／年（宮城県の研修）</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県の研修を活用するため、町の費用は受講の調整に係る事務のみ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県事業（受講費用は事業所負担）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宮城県の若年性認知症支援コーディネーターとの連携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連携の件数／年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連絡・同行に係る旅費のみ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一般財源（旅費）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再掲4件（重層的支援体制・災害時の支援・高齢者虐待・通いの場）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既に第4章・第5章で見込量を置いている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既存の事業であり、認知症施策としての再掲により費用は増えない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各事業の現行の財源</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認知症の人と家族への一体的支援事業・認知症伴走型支援事業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実施回数／年・参加世帯数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地域支援事業（任意事業）の補助単価による。実施の可否を町にご判断いただく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任意事業（確認事項No.141）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本人ミーティング（Ver.2.1で新規事業として計上済み）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開催回数／年（目標 年2回以上）・参加者数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会場費・茶菓代・記録の作成・町職員の出席に係る時間</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地域支援事業として計上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チームオレンジの活動支援（Ver.2.1で拡充事業として計上済み）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チーム数・メンバー数・支援した認知症の人の数（確認事項No.46）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活動の実態の確認が先。送迎・活動拠点は地域の協力を得る形を検討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実施方法確定後に積算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包括的支援事業（認知症総合支援事業）</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意見聴取の記録・反映台帳の管理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記録票の件数／年・台帳の更新回数／年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既存人員による。様式の印刷は少部数であり費用は小さい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既存人員・既存事業内で実施可能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既存人員・既存事業内で実施可能」としたものも、担当職員の時間を要します。本表は追加の予算措置を要するかどうかの区分であり、人件費が生じないという意味ではありません。また、いずれの事業も第2回策定委員会の選択1のご判断を経て確定するものであり、確定後に見込量と費用を積算し、第3回策定委員会で保険料に反映します。</w:t>
      </w:r>
    </w:p>
    <w:p>
      <w:pPr>
        <w:spacing w:after="0" w:before="240" w:line="320"/>
      </w:pPr>
      <w:r>
        <w:rPr>
          <w:rFonts w:ascii="游ゴシック" w:cs="游ゴシック" w:eastAsia="游ゴシック" w:hAnsi="游ゴシック"/>
          <w:b w:val="1"/>
          <w:bCs w:val="1"/>
          <w:i w:val="false"/>
          <w:iCs w:val="false"/>
          <w:sz w:val="28"/>
          <w:szCs w:val="28"/>
        </w:rPr>
        <w:t xml:space="preserve">第 7 章</w:t>
      </w:r>
    </w:p>
    <w:p>
      <w:pPr>
        <w:spacing w:after="140" w:before="0" w:line="320"/>
      </w:pPr>
      <w:r>
        <w:rPr>
          <w:rFonts w:ascii="游ゴシック" w:cs="游ゴシック" w:eastAsia="游ゴシック" w:hAnsi="游ゴシック"/>
          <w:b w:val="1"/>
          <w:bCs w:val="1"/>
          <w:i w:val="false"/>
          <w:iCs w:val="false"/>
          <w:sz w:val="20"/>
          <w:szCs w:val="2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6"/>
          <w:szCs w:val="26"/>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1"/>
          <w:szCs w:val="21"/>
        </w:rPr>
        <w:t xml:space="preserve">　▌ 本章の考え方</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1"/>
          <w:szCs w:val="21"/>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0"/>
          <w:szCs w:val="20"/>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6"/>
          <w:szCs w:val="26"/>
        </w:rPr>
        <w:t xml:space="preserve">7-2　供給の制約とその影響</w:t>
      </w:r>
    </w:p>
    <w:p>
      <w:pPr>
        <w:spacing w:after="80" w:before="180" w:line="300"/>
      </w:pPr>
      <w:r>
        <w:rPr>
          <w:rFonts w:ascii="游ゴシック" w:cs="游ゴシック" w:eastAsia="游ゴシック" w:hAnsi="游ゴシック"/>
          <w:b w:val="1"/>
          <w:bCs w:val="1"/>
          <w:i w:val="false"/>
          <w:iCs w:val="false"/>
          <w:sz w:val="21"/>
          <w:szCs w:val="21"/>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0"/>
          <w:szCs w:val="20"/>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1"/>
          <w:szCs w:val="21"/>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20"/>
          <w:szCs w:val="20"/>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6"/>
          <w:szCs w:val="26"/>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0"/>
          <w:szCs w:val="20"/>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中山間・人口減少地域に対応した国・県の制度の活用</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地域密着型サービスの認知向上と利用促進（第1回策定委員会でのご意見による）</w:t>
      </w:r>
      <w:r>
        <w:rPr>
          <w:rFonts w:ascii="游ゴシック" w:cs="游ゴシック" w:eastAsia="游ゴシック" w:hAnsi="游ゴシック"/>
          <w:i w:val="false"/>
          <w:iCs w:val="false"/>
          <w:sz w:val="20"/>
          <w:szCs w:val="20"/>
        </w:rPr>
        <w:t xml:space="preserve"/>
      </w:r>
    </w:p>
    <w:p>
      <w:pPr>
        <w:spacing w:after="80" w:before="180" w:line="300"/>
      </w:pPr>
      <w:r>
        <w:rPr>
          <w:rFonts w:ascii="游ゴシック" w:cs="游ゴシック" w:eastAsia="游ゴシック" w:hAnsi="游ゴシック"/>
          <w:b w:val="1"/>
          <w:bCs w:val="1"/>
          <w:i w:val="false"/>
          <w:iCs w:val="false"/>
          <w:sz w:val="21"/>
          <w:szCs w:val="21"/>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加えて、令和9年4月からは「特定地域サービス」（人員配置基準を緩和した特例のサービス類型。月単位の包括払いを選択できる）及び「特定地域居宅サービス等事業」（市町村が事業としてサービスを実施できる仕組み）が創設されます（1-5）。いずれも本計画の初年度から適用されるため、宮城県からの意向照会の有無及び指定を受ける意向を確認し（確認事項No.152）、指定を受ける場合は、人員配置基準の緩和による事業所の負担軽減と、24時間対応サービスの確保（第9章9-1）の両面で活用します。国・県の支援制度の活用可能性については、町の関係課及び宮城県と協議します。</w:t>
      </w:r>
    </w:p>
    <w:p>
      <w:pPr>
        <w:spacing w:after="80" w:before="80" w:line="280"/>
        <w:ind w:left="288"/>
      </w:pPr>
      <w:r>
        <w:rPr>
          <w:rFonts w:ascii="游ゴシック" w:cs="游ゴシック" w:eastAsia="游ゴシック" w:hAnsi="游ゴシック"/>
          <w:i/>
          <w:iCs/>
          <w:sz w:val="20"/>
          <w:szCs w:val="20"/>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6"/>
          <w:szCs w:val="26"/>
        </w:rPr>
        <w:t xml:space="preserve">7-4　介護人材の確保</w:t>
      </w:r>
    </w:p>
    <w:p>
      <w:pPr>
        <w:spacing w:after="80" w:before="180" w:line="300"/>
      </w:pPr>
      <w:r>
        <w:rPr>
          <w:rFonts w:ascii="游ゴシック" w:cs="游ゴシック" w:eastAsia="游ゴシック" w:hAnsi="游ゴシック"/>
          <w:b w:val="1"/>
          <w:bCs w:val="1"/>
          <w:i w:val="false"/>
          <w:iCs w:val="false"/>
          <w:sz w:val="21"/>
          <w:szCs w:val="21"/>
        </w:rPr>
        <w:t xml:space="preserve">　▌ 施策の方向性</w:t>
      </w:r>
    </w:p>
    <w:p>
      <w:pPr>
        <w:spacing w:after="80" w:before="50" w:line="320"/>
        <w:ind w:firstLine="200"/>
        <w:jc w:val="left"/>
      </w:pPr>
      <w:r>
        <w:rPr>
          <w:rFonts w:ascii="游ゴシック" w:cs="游ゴシック" w:eastAsia="游ゴシック" w:hAnsi="游ゴシック"/>
          <w:i w:val="false"/>
          <w:iCs w:val="false"/>
          <w:sz w:val="20"/>
          <w:szCs w:val="20"/>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1"/>
          <w:szCs w:val="21"/>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企画課・保健福祉課</w:t>
            </w:r>
          </w:p>
        </w:tc>
      </w:tr>
    </w:tbl>
    <w:p>
      <w:pPr>
        <w:spacing w:after="80" w:before="80" w:line="280"/>
        <w:ind w:left="288"/>
      </w:pPr>
      <w:r>
        <w:rPr>
          <w:rFonts w:ascii="游ゴシック" w:cs="游ゴシック" w:eastAsia="游ゴシック" w:hAnsi="游ゴシック"/>
          <w:i/>
          <w:iCs/>
          <w:sz w:val="20"/>
          <w:szCs w:val="20"/>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6"/>
          <w:szCs w:val="26"/>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0"/>
          <w:szCs w:val="20"/>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6"/>
          <w:szCs w:val="26"/>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0"/>
          <w:szCs w:val="20"/>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0"/>
          <w:szCs w:val="20"/>
        </w:rPr>
        <w:t xml:space="preserve">①　年1回の事業所ヒアリング（職員数、稼働の状況、経営の状況、必要な支援）</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把握した内容の策定委員会及び地域包括ケア推進の場への報告</w:t>
      </w:r>
      <w:r>
        <w:rPr>
          <w:rFonts w:ascii="游ゴシック" w:cs="游ゴシック" w:eastAsia="游ゴシック" w:hAnsi="游ゴシック"/>
          <w:i w:val="false"/>
          <w:iCs w:val="false"/>
          <w:sz w:val="20"/>
          <w:szCs w:val="20"/>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この仕組みは、保険者機能強化推進交付金の評価指標「介護人材の確保・サービス提供基盤の整備」にも対応します。同交付金の当該目標は令和8年度で73点（満点100点・全国平均50.83点・全国218位）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1"/>
          <w:szCs w:val="21"/>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w:t>
            </w:r>
          </w:p>
        </w:tc>
      </w:tr>
    </w:tbl>
    <w:p>
      <w:pPr>
        <w:spacing w:after="80" w:before="80" w:line="280"/>
        <w:ind w:left="288"/>
      </w:pPr>
      <w:r>
        <w:rPr>
          <w:rFonts w:ascii="游ゴシック" w:cs="游ゴシック" w:eastAsia="游ゴシック" w:hAnsi="游ゴシック"/>
          <w:i/>
          <w:iCs/>
          <w:sz w:val="20"/>
          <w:szCs w:val="20"/>
        </w:rPr>
        <w:t xml:space="preserve">⚠ 現状値・目標値は第2回策定委員会での協議事項です。介護給付適正化の3事業の実施状況（確認事項No.127）の回答を受けて確定します。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8 章</w:t>
      </w:r>
    </w:p>
    <w:p>
      <w:pPr>
        <w:spacing w:after="140" w:before="0" w:line="320"/>
      </w:pPr>
      <w:r>
        <w:rPr>
          <w:rFonts w:ascii="游ゴシック" w:cs="游ゴシック" w:eastAsia="游ゴシック" w:hAnsi="游ゴシック"/>
          <w:b w:val="1"/>
          <w:bCs w:val="1"/>
          <w:i w:val="false"/>
          <w:iCs w:val="false"/>
          <w:sz w:val="20"/>
          <w:szCs w:val="2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本章は、保険者機能強化推進交付金・介護保険保険者努力支援交付金の評価指標に直接対応する。令和8年度の評価では、推進交付金 目標Ⅰ（ⅰ）4「評価結果の活用」のア〜エ16点がすべて0点となり、同 目標Ⅱ（ⅰ）2「給付費適正化事業の取組状況」のうちア（3事業の全てを実施している）6点が0点となった。本章の各節は、この22点の回復を具体的な目的とする（残る5点は第6章6-1の認知症施策推進計画の策定手続による。第3章3-3）。</w:t>
      </w:r>
    </w:p>
    <w:p>
      <w:pPr>
        <w:spacing w:after="80" w:before="50" w:line="320"/>
        <w:ind w:firstLine="200"/>
        <w:jc w:val="left"/>
      </w:pPr>
      <w:r>
        <w:rPr>
          <w:rFonts w:ascii="游ゴシック" w:cs="游ゴシック" w:eastAsia="游ゴシック" w:hAnsi="游ゴシック"/>
          <w:i w:val="false"/>
          <w:iCs w:val="false"/>
          <w:sz w:val="20"/>
          <w:szCs w:val="20"/>
        </w:rPr>
        <w:t xml:space="preserve">別冊「施策・事業の体系（Ｃ案）」の柱7（地域マネジメントに関する事項）の9事業と、本章及び第7章の節との対応は次のとおりです。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30"/>
        <w:gridCol w:w="102"/>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柱7の事業</w:t>
            </w:r>
          </w:p>
        </w:tc>
        <w:tc>
          <w:tcPr>
            <w:tcW w:type="dxa"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１　介護サービスの質の向上　（１）研修・指導・苦情対応・ケアプラン点検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２　介護費用適正化の推進　（１）介護給付の適正化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３　助言・指導の充実　（１）事業所への助言・指導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４　情報提供・相談体制の充実　（１）情報提供・相談体制の充実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５　福祉・介護人材の確保・定着支援【重点】　（１）介護人材の確保・育成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６　介護現場の生産性向上（介護ロボット・ＩＣＴの導入支援）　（１）介護ロボット・ＩＣＴの導入支援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第7章7-5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７　自立支援・重度化防止に向けた目標と指標　（１）目標と指標の設定・管理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第10章10-4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８　計画値と実績値の乖離のモニタリングと公表　（１）乖離の把握と公表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９　町外施設利用・住所地特例への対応　（１）住所地特例該当者の把握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第2章2-3・第9章9-1</w:t>
            </w:r>
          </w:p>
        </w:tc>
      </w:tr>
    </w:tbl>
    <w:p>
      <w:pPr>
        <w:spacing w:after="80" w:before="180" w:line="300"/>
      </w:pPr>
      <w:r>
        <w:rPr>
          <w:rFonts w:ascii="游ゴシック" w:cs="游ゴシック" w:eastAsia="游ゴシック" w:hAnsi="游ゴシック"/>
          <w:b w:val="1"/>
          <w:bCs w:val="1"/>
          <w:i w:val="false"/>
          <w:iCs w:val="false"/>
          <w:sz w:val="21"/>
          <w:szCs w:val="21"/>
        </w:rPr>
        <w:t xml:space="preserve">　▌ 新たに立てる事業・広げる事業（新規2件・拡充3件）</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144"/>
        <w:gridCol w:w="13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根拠となる事実</w:t>
            </w:r>
          </w:p>
        </w:tc>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第10期での内容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（１）研修・指導・苦情対応・ケアプラン点検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交：「ケアプラン点検の実施状況」は令和6年度8点から令和7・8年度は4／16点に下がり、全国平均6.4点を下回る（県内13位）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素案は複数箇所でケアプラン点検を施策として掲げているが、交付金評価では令和7年度から全国平均を下回っている。点検件数と実施方法を確認中【町確認】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交：推進 目標Ⅲ「確保・定着の取組状況」30点満点・「庁内庁外の連携体制」34点満点でいずれも県内1位である一方、「介護の仕事の魅力に関する研修」0／12点・「定着・資質向上に関する研修」0／12点。委：1ユニット分の人員削減、職員80名→50名の見込み、人材紹介に1件約100万円の紹介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第2回策定委員会 選択4。町単独事業は地域支援事業の対象外であり第1号保険料では賄えない。体制は県内1位だが研修の実施が3年連続で2項目とも0点（計24点）。ただし同規模かつ過疎地域の285保険者でも満点は15件・9件（3〜5％）にとどまり、取れなくても同規模団体との比較では不利にならない。第2回策定委員会の選択4のご判断による（素案3-3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拡充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（１）目標と指標の設定・管理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交：第9期のアウトカム指標は調整済み認定率を令和5年の水準（17.6％）に維持すること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各指標に指標名・区分・現状値・目標値・集計担当・集計方法及び頻度・未把握の場合の対応を必ず付す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（１）乖離の把握と公表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交：令和8年度の保険者機能強化推進交付金で「評価結果の活用」が令和7年度の満点16点から0点。県内35保険者中34位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体系（案）にない施策。7に含めるか8として立てるかを確認中（確認事項No.108）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（１）住所地特例該当者の把握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実：住所地特例該当者24人（令和7年6月時点）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体系（案）にない施策。町外施設（柴田町・大河原町・仙台市等）への依存が常態化しており、所在自治体内訳の把握を見込量算定と広域連携の根拠とする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柱7の事業は、本章のほか第7章（介護人材・生産性向上）及び第10章（目標と指標の管理）に分かれて位置付けています。区分「拡充」は、第9期から引き続き実施するものの、交付金の評価結果を踏まえて内容を広げる事業です。</w:t>
      </w:r>
    </w:p>
    <w:p>
      <w:pPr>
        <w:spacing w:after="100" w:before="200" w:line="320"/>
      </w:pPr>
      <w:r>
        <w:rPr>
          <w:rFonts w:ascii="游ゴシック" w:cs="游ゴシック" w:eastAsia="游ゴシック" w:hAnsi="游ゴシック"/>
          <w:b w:val="1"/>
          <w:bCs w:val="1"/>
          <w:i w:val="false"/>
          <w:iCs w:val="false"/>
          <w:sz w:val="26"/>
          <w:szCs w:val="26"/>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0"/>
          <w:szCs w:val="20"/>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6"/>
          <w:szCs w:val="26"/>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の適正化は、必要なサービスを適切に提供しつつ、不適切な給付を削減する取組です。令和8年度の交付金評価では、「給付費適正化事業の取組状況」のうちア（3事業の全てを実施している・配点6点）が0点となりました。一方、同じ項目のイ〜オ（縦覧点検10帳票のうち効果が高い4帳票の点検、有料老人ホーム等の入居者を含むケアプラン点検、福祉用具貸与後のリハビリテーション専門職等による点検の仕組み、福祉用具購入費・住宅改修費の妥当性を検討する仕組み）は30点すべて満点であり、「給付費適正化方策の策定状況」（配点32点）も3年連続で満点です。方策と個別の点検は整っており、3事業をそろって実施していることの確認だけが欠けている状態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全件点検を基本とする。3事業の一つとして実施状況を確認する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年間の点検件数を定めて実施する。3事業の一つとして実施状況を確認する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縦覧点検4帳票・医療情報との突合はいずれも交付金で満点。3事業の一つとして継続する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20"/>
          <w:szCs w:val="20"/>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6"/>
          <w:szCs w:val="26"/>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この取組は、交付金の活動指標群のうち「後期高齢者数と給付費の伸び率の比較」（推進 目標Ⅰ（ⅱ）2・配点12点）に対応します。令和8年度の評価は4段階すべて0点でした。なお、同じ活動指標群の「今年度の評価得点」（配点12点）は、交付金の合計得点の全国順位により厚生労働省が算定するもので、本町は上位3割までの3段階9点を得ています（上位1割に相当する残り3点が未取得）。町の取組により直接動かせるのは前者であり、様式を定めて継続することで得点できます。</w:t>
      </w:r>
    </w:p>
    <w:p>
      <w:pPr>
        <w:spacing w:after="40" w:before="40" w:line="300"/>
        <w:ind w:left="431"/>
      </w:pPr>
      <w:r>
        <w:rPr>
          <w:rFonts w:ascii="游ゴシック" w:cs="游ゴシック" w:eastAsia="游ゴシック" w:hAnsi="游ゴシック"/>
          <w:i w:val="false"/>
          <w:iCs w:val="false"/>
          <w:sz w:val="20"/>
          <w:szCs w:val="20"/>
        </w:rPr>
        <w:t xml:space="preserve">①　毎年度、サービス種類別の計画値と実績値を対比する（様式を固定する）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後期高齢者数の伸び率と給付費の伸び率を比較し、その差の要因を記録する</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分析の結果を町ホームページで公表し、次年度の事業計画に反映する</w:t>
      </w:r>
      <w:r>
        <w:rPr>
          <w:rFonts w:ascii="游ゴシック" w:cs="游ゴシック" w:eastAsia="游ゴシック" w:hAnsi="游ゴシック"/>
          <w:i w:val="false"/>
          <w:iCs w:val="false"/>
          <w:sz w:val="20"/>
          <w:szCs w:val="20"/>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6"/>
          <w:szCs w:val="26"/>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0"/>
          <w:szCs w:val="20"/>
        </w:rPr>
        <w:t xml:space="preserve">令和8年度の交付金評価では、「評価結果の活用」（推進交付金 目標Ⅰ（ⅰ）4・配点16点）のア〜エがすべて0点となりました（令和6・7年度はいずれも各4点で満点）。この指標が問うているのは、施策そのものの評価ではなく、交付金の評価結果を庁内外で共有し、施策の改善に活用し、公表しているかどうかです。評価指標の本文に沿って、次の4つを手順として定めます。</w:t>
      </w:r>
    </w:p>
    <w:p>
      <w:pPr>
        <w:spacing w:after="40" w:before="40" w:line="300"/>
        <w:ind w:left="431"/>
      </w:pPr>
      <w:r>
        <w:rPr>
          <w:rFonts w:ascii="游ゴシック" w:cs="游ゴシック" w:eastAsia="游ゴシック" w:hAnsi="游ゴシック"/>
          <w:i w:val="false"/>
          <w:iCs w:val="false"/>
          <w:sz w:val="20"/>
          <w:szCs w:val="20"/>
        </w:rPr>
        <w:t xml:space="preserve">①　交付金の評価結果を庁内の関係各課が集まって共有し、課題と今後の改善の方向性について意見交換する場を、年に1回以上設ける（要件ア・4点）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②　①の場に、庁内のみならず庁外の関係者が参画する。策定委員会又は地域ケア会議といった既存の会議体に議題として追加し、同様の意見交換を行う形で足りる（要件イ・4点）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①の場における意見を、翌年度の予算編成及び施策の改善・見直しに反映する。全ての事業に網羅的に反映することまでは求められず、一部の事業に活用した実績があれば要件を満たす（要件ウ・4点）</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④　直近年度の評価結果を、全ての評価項目（ア〜エ等の小項目レベル）ごとの得点獲得状況まで、町ホームページで公表する。公表の時期・様式をあらかじめ定め、担当を固定する（要件エ・4点）</w:t>
      </w:r>
      <w:r>
        <w:rPr>
          <w:rFonts w:ascii="游ゴシック" w:cs="游ゴシック" w:eastAsia="游ゴシック" w:hAnsi="游ゴシック"/>
          <w:i w:val="false"/>
          <w:iCs w:val="false"/>
          <w:sz w:val="20"/>
          <w:szCs w:val="20"/>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新たな事業も予算も要さずに回復できる。要件は評価を実施することではなく、交付金の評価結果を共有・活用・公表する手順が定まっていることである。とりわけ要件エ（公表）は、宮城県内35保険者の得点率が82.9％であり、全国の50.3％を大きく上回る。県内では評価結果の公表が定着している。</w:t>
      </w:r>
    </w:p>
    <w:p>
      <w:pPr>
        <w:spacing w:after="100" w:before="200" w:line="320"/>
      </w:pPr>
      <w:r>
        <w:rPr>
          <w:rFonts w:ascii="游ゴシック" w:cs="游ゴシック" w:eastAsia="游ゴシック" w:hAnsi="游ゴシック"/>
          <w:b w:val="1"/>
          <w:bCs w:val="1"/>
          <w:i w:val="false"/>
          <w:iCs w:val="false"/>
          <w:sz w:val="26"/>
          <w:szCs w:val="26"/>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0"/>
          <w:szCs w:val="20"/>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0"/>
          <w:szCs w:val="20"/>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9 章</w:t>
      </w:r>
    </w:p>
    <w:p>
      <w:pPr>
        <w:spacing w:after="140" w:before="0" w:line="320"/>
      </w:pPr>
      <w:r>
        <w:rPr>
          <w:rFonts w:ascii="游ゴシック" w:cs="游ゴシック" w:eastAsia="游ゴシック" w:hAnsi="游ゴシック"/>
          <w:b w:val="1"/>
          <w:bCs w:val="1"/>
          <w:i w:val="false"/>
          <w:iCs w:val="false"/>
          <w:sz w:val="20"/>
          <w:szCs w:val="2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章では、第10期計画期間（令和9〜11年度）の介護保険サービス見込量と、それに基づく介護保険料を示します。本素案Ver.1.25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6"/>
          <w:szCs w:val="26"/>
        </w:rPr>
        <w:t xml:space="preserve">9-1　サービス見込量の推計</w:t>
      </w:r>
    </w:p>
    <w:p>
      <w:pPr>
        <w:spacing w:after="80" w:before="180" w:line="300"/>
      </w:pPr>
      <w:r>
        <w:rPr>
          <w:rFonts w:ascii="游ゴシック" w:cs="游ゴシック" w:eastAsia="游ゴシック" w:hAnsi="游ゴシック"/>
          <w:b w:val="1"/>
          <w:bCs w:val="1"/>
          <w:i w:val="false"/>
          <w:iCs w:val="false"/>
          <w:sz w:val="21"/>
          <w:szCs w:val="21"/>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0"/>
          <w:szCs w:val="20"/>
        </w:rPr>
        <w:t xml:space="preserve">サービス見込量は、次の考え方により算定しました。</w:t>
      </w:r>
    </w:p>
    <w:p>
      <w:pPr>
        <w:spacing w:after="200" w:before="200" w:line="360"/>
        <w:jc w:val="center"/>
      </w:pPr>
      <w:r>
        <w:rPr>
          <w:rFonts w:ascii="游ゴシック" w:cs="游ゴシック" w:eastAsia="游ゴシック" w:hAnsi="游ゴシック"/>
          <w:i w:val="false"/>
          <w:iCs w:val="false"/>
          <w:sz w:val="20"/>
          <w:szCs w:val="20"/>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0"/>
          <w:szCs w:val="20"/>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0"/>
          <w:szCs w:val="20"/>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1"/>
          <w:szCs w:val="21"/>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1"/>
          <w:szCs w:val="21"/>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0"/>
          <w:szCs w:val="20"/>
        </w:rPr>
        <w:t xml:space="preserve">第10期計画期間中（令和9〜11年度）及び中長期（令和17年度・令和22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令和17年度及び令和22年度は、利用率・1人1月当たりの利用回（日）数及び単価を令和7年度で固定し、要介護度別の認定者数の伸びのみを反映した参考値です。</w:t>
      </w:r>
    </w:p>
    <w:p>
      <w:pPr>
        <w:spacing w:after="80" w:before="180" w:line="300"/>
      </w:pPr>
      <w:r>
        <w:rPr>
          <w:rFonts w:ascii="游ゴシック" w:cs="游ゴシック" w:eastAsia="游ゴシック" w:hAnsi="游ゴシック"/>
          <w:b w:val="1"/>
          <w:bCs w:val="1"/>
          <w:i w:val="false"/>
          <w:iCs w:val="false"/>
          <w:sz w:val="21"/>
          <w:szCs w:val="21"/>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w:t>
              <w:br/>
              <w:t xml:space="preserve">（介護予防を含む）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27,780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28,288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28,403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31,040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34,132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720.3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866.7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訪問入浴介護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3,488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4,802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4,630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5,156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116.0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132.0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居宅療養管理指導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63,413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63,316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69,947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通所リハビリテーション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100,180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98,541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99,320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110,324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118,440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773.1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854.4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914.3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短期入所生活介護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15,795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16,098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16,220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16,172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17,603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19,468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18.6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福祉用具貸与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20,863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20,417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20,569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22,681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特定施設入居者生活介護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6,255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6,387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w:t>
            </w:r>
          </w:p>
        </w:tc>
      </w:tr>
    </w:tbl>
    <w:p>
      <w:pPr>
        <w:spacing w:after="80" w:before="180" w:line="300"/>
      </w:pPr>
      <w:r>
        <w:rPr>
          <w:rFonts w:ascii="游ゴシック" w:cs="游ゴシック" w:eastAsia="游ゴシック" w:hAnsi="游ゴシック"/>
          <w:b w:val="1"/>
          <w:bCs w:val="1"/>
          <w:i w:val="false"/>
          <w:iCs w:val="false"/>
          <w:sz w:val="21"/>
          <w:szCs w:val="21"/>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7"/>
        <w:gridCol w:w="90"/>
        <w:gridCol w:w="90"/>
        <w:gridCol w:w="99"/>
        <w:gridCol w:w="84"/>
        <w:gridCol w:w="84"/>
        <w:gridCol w:w="84"/>
        <w:gridCol w:w="78"/>
        <w:gridCol w:w="84"/>
      </w:tblGrid>
      <w:tr>
        <w:tc>
          <w:tcPr>
            <w:tcW w:type="dxa" w:w="20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定期巡回・随時対応型訪問介護看護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437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地域密着型通所介護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374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回（日）数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認知症対応型共同生活介護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80,059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81,115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80,775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81,659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90,923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96,805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96,212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98,308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98,656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98,336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106,357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118,970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看護小規模多機能型居宅介護</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809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858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0.3</w:t>
            </w:r>
          </w:p>
        </w:tc>
      </w:tr>
    </w:tbl>
    <w:p>
      <w:pPr>
        <w:spacing w:after="80" w:before="180" w:line="300"/>
      </w:pPr>
      <w:r>
        <w:rPr>
          <w:rFonts w:ascii="游ゴシック" w:cs="游ゴシック" w:eastAsia="游ゴシック" w:hAnsi="游ゴシック"/>
          <w:b w:val="1"/>
          <w:bCs w:val="1"/>
          <w:i w:val="false"/>
          <w:iCs w:val="false"/>
          <w:sz w:val="21"/>
          <w:szCs w:val="21"/>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6"/>
        <w:gridCol w:w="90"/>
        <w:gridCol w:w="72"/>
        <w:gridCol w:w="90"/>
        <w:gridCol w:w="90"/>
        <w:gridCol w:w="90"/>
        <w:gridCol w:w="90"/>
        <w:gridCol w:w="81"/>
        <w:gridCol w:w="81"/>
      </w:tblGrid>
      <w:tr>
        <w:tc>
          <w:tcPr>
            <w:tcW w:type="dxa" w:w="2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介護老人福祉施設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232,975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238,205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238,253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237,772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256,568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288,034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69.2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74.8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介護老人保健施設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260,377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265,253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264,961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265,006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288,836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318,292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81.3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千円／年</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利用者数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0.0</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出典：令和7年度実績：介護保険事業状況報告（年報・令和7年度）／令和9〜11年度・令和17年度・令和22年度：本計画の算定値</w:t>
      </w:r>
    </w:p>
    <w:p>
      <w:pPr>
        <w:spacing w:after="80" w:before="180" w:line="300"/>
      </w:pPr>
      <w:r>
        <w:rPr>
          <w:rFonts w:ascii="游ゴシック" w:cs="游ゴシック" w:eastAsia="游ゴシック" w:hAnsi="游ゴシック"/>
          <w:b w:val="1"/>
          <w:bCs w:val="1"/>
          <w:i w:val="false"/>
          <w:iCs w:val="false"/>
          <w:sz w:val="21"/>
          <w:szCs w:val="21"/>
        </w:rPr>
        <w:t xml:space="preserve">　▌ 見込量を0としたサービスの区分</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うち見込量を0としたサービスについて、0である理由を区別して掲げます。「供給なし」は町内及び近隣に指定事業所がないもの、「利用なし」は事業所はあるが本町の被保険者の利用がないもの、「整備予定なし」は第10期中に整備する予定がないものです。供給がないことによる0は、利用勧奨では動かせ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
        <w:gridCol w:w="80"/>
        <w:gridCol w:w="120"/>
        <w:gridCol w:w="120"/>
        <w:gridCol w:w="50"/>
      </w:tblGrid>
      <w:tr>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実績（令和6年度→令和7年度）</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0の区分</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第10期の扱い</w:t>
            </w:r>
          </w:p>
        </w:tc>
        <w:tc>
          <w:tcPr>
            <w:tcW w:type="dxa"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夜間対応型訪問介護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見込量0。整備の予定を第2回策定委員会で確認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No.41・No.71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認知症対応型通所介護（介護予防を含む）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見込量0。認知症施策としては継続の位置付けとし、供給がない場合は近隣市町村の事業所の利用を支援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小規模多機能型居宅介護（介護予防を含む）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［要確認］町内に事業所があるとの整理があり、実績との食い違いを確認中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見込量0。第2章2-3の事業所一覧と突き合わせる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No.29・No.71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供給なし（町内の定員0人。必要利用定員総数の表に記載）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見込量0。必要利用定員総数も0とする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介護医療院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実績あり → 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［要確認］供給なし又は利用なし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見込量0。介護療養型医療施設は令和5年度末（令和6年3月31日）で廃止済み</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No.71</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見込量を0としたサービスの区分は、必要利用定員総数の前に掲げた表のとおりです。</w:t>
      </w:r>
    </w:p>
    <w:p>
      <w:pPr>
        <w:spacing w:after="80" w:before="50" w:line="320"/>
        <w:ind w:firstLine="200"/>
        <w:jc w:val="left"/>
      </w:pPr>
      <w:r>
        <w:rPr>
          <w:rFonts w:ascii="游ゴシック" w:cs="游ゴシック" w:eastAsia="游ゴシック" w:hAnsi="游ゴシック"/>
          <w:i w:val="false"/>
          <w:iCs w:val="false"/>
          <w:sz w:val="21"/>
          <w:szCs w:val="21"/>
        </w:rPr>
        <w:t xml:space="preserve">　▌ 24時間対応サービスの確保方策</w:t>
      </w:r>
    </w:p>
    <w:p>
      <w:pPr>
        <w:spacing w:after="80" w:before="180" w:line="300"/>
      </w:pPr>
      <w:r>
        <w:rPr>
          <w:rFonts w:ascii="游ゴシック" w:cs="游ゴシック" w:eastAsia="游ゴシック" w:hAnsi="游ゴシック"/>
          <w:i w:val="false"/>
          <w:iCs w:val="false"/>
          <w:sz w:val="20"/>
          <w:szCs w:val="20"/>
        </w:rPr>
        <w:t xml:space="preserve">定期巡回・随時対応型訪問介護看護、夜間対応型訪問介護及び看護小規模多機能型居宅介護は、在宅で24時間の対応を担うサービスです。本町の令和7年度の実績は、定期巡回・随時対応型訪問介護看護が月0.4人、看護小規模多機能型居宅介護が月0.2人であり、夜間対応型訪問介護は実績がありません。一方、施設サービスの受給者134.3人のうち要介護3以上が115.3人（85.9％）を占めており（2-3）、在宅で重度の方を支える体制が整っているとは言えない状況です。第10期では、次の4案を比較し、確保方策を決定します。「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120"/>
        <w:gridCol w:w="160"/>
        <w:gridCol w:w="96"/>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案</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留意点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見込量への反映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第10期中に定期巡回・随時対応型訪問介護看護又は看護小規模多機能型居宅介護を町内に整備する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町内の訪問介護は登録21名に対し実働4名（2-7）であり、24時間の体制を組む人材の確保が課題。整備には事業者の参入意向の確認を要する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整備年度から利用者数を計上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近隣市町（柴田町・大河原町・村田町・仙台市等）の事業所の利用を前提とし、市町村を越えた利用の調整を進める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地域密着型サービスは保険者が指定するため、市町村間の同意を要する。町域270km²・山林85％であり移動時間の制約も大きい。宮城県及び近隣市町との協議を要する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協議成立後に利用者数を計上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訪問介護・訪問看護・小規模多機能型居宅介護の組合せで代替する方針を明記する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現状の実態に即すが、夜間・深夜の対応は制度上担保されない。代替方針であることを計画に明記する必要がある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既存サービスの見込量に含める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令和9年4月1日に創設される「特定地域居宅サービス等事業」として、町が事業としてサービスを実施する（1-5）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給付における特例の仕組みを活用してもなおサービス提供体制の維持が困難な場合に、市町村が関与する事業により介護保険財源を活用してサービスを確保する仕組み。特定地域の指定を前提とする（確認事項No.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事業として実施する場合は地域支援事業ではなく当該事業として費用を計上</w:t>
            </w:r>
          </w:p>
        </w:tc>
      </w:tr>
    </w:tbl>
    <w:p>
      <w:pPr>
        <w:spacing w:after="80" w:before="180" w:line="300"/>
      </w:pPr>
      <w:r>
        <w:rPr>
          <w:rFonts w:ascii="游ゴシック" w:cs="游ゴシック" w:eastAsia="游ゴシック" w:hAnsi="游ゴシック"/>
          <w:i w:val="false"/>
          <w:iCs w:val="false"/>
          <w:sz w:val="20"/>
          <w:szCs w:val="20"/>
        </w:rPr>
        <w:t xml:space="preserve">⚠ 案の選択は、第2回策定委員会の選択3（在宅系の地域密着型サービス）と併せてお諮りします。Ｂ案・Ｄ案はいずれも町単独では決められないため、宮城県及び近隣市町との協議の見通しが前提となります。なお、夜間対応型訪問介護は令和9年4月に定期巡回・随時対応型訪問介護看護に統合される見込みです（1-5）。</w:t>
      </w:r>
    </w:p>
    <w:p>
      <w:pPr>
        <w:spacing w:after="80" w:before="50" w:line="320"/>
        <w:ind w:firstLine="200"/>
        <w:jc w:val="left"/>
      </w:pPr>
      <w:r>
        <w:rPr>
          <w:rFonts w:ascii="游ゴシック" w:cs="游ゴシック" w:eastAsia="游ゴシック" w:hAnsi="游ゴシック"/>
          <w:i w:val="false"/>
          <w:iCs w:val="false"/>
          <w:sz w:val="21"/>
          <w:szCs w:val="21"/>
        </w:rPr>
        <w:t xml:space="preserve">　▌ 介護施設整備に係る基本方針</w:t>
      </w:r>
    </w:p>
    <w:p>
      <w:pPr>
        <w:spacing w:after="80" w:before="180" w:line="300"/>
      </w:pPr>
      <w:r>
        <w:rPr>
          <w:rFonts w:ascii="游ゴシック" w:cs="游ゴシック" w:eastAsia="游ゴシック" w:hAnsi="游ゴシック"/>
          <w:i w:val="false"/>
          <w:iCs w:val="false"/>
          <w:sz w:val="20"/>
          <w:szCs w:val="20"/>
        </w:rPr>
        <w:t xml:space="preserve">介護施設等の整備は、定員の単純な増減ではなく、既存資源の稼働、待機・受入不可、医療ニーズ、人材確保、町外施設の利用及び事業継続性を総合して判断します。整備量だけでなく、実働する人材を含む提供可能量で判断します。また、町内に事業所が存在しないサービスについては、「整備しない」という判断も明示的な選択として計画に記載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112"/>
        <w:gridCol w:w="120"/>
        <w:gridCol w:w="104"/>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判断項目</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確認内容</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基本方針</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主な資料・確認事項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既存資源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定員、入所率・稼働率、空床・休止床、待機者数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既存資源の有効活用を優先する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特別養護老人ホーム・介護老人保健施設への照会（確認事項No.159）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供給の空白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町内に事業所が存在しないサービス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24時間対応の3種別は確保方策を決定する（前項）。その他は町外の事業所による給付で足りているかを確認する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事業所一覧（確認事項No.29）、見込量0のサービスの区分（本節）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供給制約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従事者数の推移、受入不可、休廃止・縮小の意向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実働する提供可能量で判断する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事業所ヒアリング（確認事項No.50・No.51）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広域調整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町外施設の利用、住所地特例、事業者間の連携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近隣市町及び宮城県との調整を行う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住所地特例24人の所在自治体別内訳（確認事項No.12）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医療との整合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退院後の受け皿、看取り、医療ニーズ、高齢者救急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宮城県の医療計画・地域医療構想と整合させる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国民健康保険川崎病院・宮城県（確認事項No.153）</w:t>
            </w:r>
          </w:p>
        </w:tc>
      </w:tr>
    </w:tbl>
    <w:p>
      <w:pPr>
        <w:spacing w:after="80" w:before="180" w:line="300"/>
      </w:pPr>
      <w:r>
        <w:rPr>
          <w:rFonts w:ascii="游ゴシック" w:cs="游ゴシック" w:eastAsia="游ゴシック" w:hAnsi="游ゴシック"/>
          <w:i w:val="false"/>
          <w:iCs w:val="false"/>
          <w:sz w:val="20"/>
          <w:szCs w:val="20"/>
        </w:rPr>
        <w:t xml:space="preserve">⚠ 施設・居住系への入所と退去が、自宅との間で生じているのか医療機関との間で生じているのかにより、整備の考え方が変わります。本町の在宅介護実態調査では、施設等への申込みをしている方が33.8％、検討している方が14.4％（計48.2％・n=139）でしたが、実際の新規入所者が入所前にどこにいたか、退所者がどこへ退所したかは把握していません。2施設への照会により把握し（確認事項No.159）、第2回策定委員会の選択2（施設整備）の判断の根拠とします。</w:t>
      </w:r>
    </w:p>
    <w:p>
      <w:pPr>
        <w:spacing w:after="80" w:before="180" w:line="300"/>
      </w:pPr>
      <w:r>
        <w:rPr>
          <w:rFonts w:ascii="游ゴシック" w:cs="游ゴシック" w:eastAsia="游ゴシック" w:hAnsi="游ゴシック"/>
          <w:b w:val="1"/>
          <w:bCs w:val="1"/>
          <w:i w:val="false"/>
          <w:iCs w:val="false"/>
          <w:sz w:val="21"/>
          <w:szCs w:val="21"/>
        </w:rPr>
        <w:t xml:space="preserve">　▌ 必要利用定員総数（日常生活圏域ごと）</w:t>
      </w:r>
    </w:p>
    <w:p>
      <w:pPr>
        <w:spacing w:after="80" w:before="180" w:line="300"/>
      </w:pPr>
      <w:r>
        <w:rPr>
          <w:rFonts w:ascii="游ゴシック" w:cs="游ゴシック" w:eastAsia="游ゴシック" w:hAnsi="游ゴシック"/>
          <w:i w:val="false"/>
          <w:iCs w:val="false"/>
          <w:sz w:val="20"/>
          <w:szCs w:val="20"/>
        </w:rPr>
        <w:t xml:space="preserve">介護保険法第117条第2項第1号は、日常生活圏域ごとの認知症対応型共同生活介護、地域密着型特定施設入居者生活介護及び地域密着型介護老人福祉施設入所者生活介護の必要利用定員総数を定めることを求めています。川崎町は町域全体を1つの日常生活圏域としているため、町全体の見込量がそのまま必要利用定員総数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9"/>
        <w:gridCol w:w="59"/>
        <w:gridCol w:w="77"/>
        <w:gridCol w:w="71"/>
        <w:gridCol w:w="71"/>
        <w:gridCol w:w="71"/>
        <w:gridCol w:w="162"/>
      </w:tblGrid>
      <w:tr>
        <w:tc>
          <w:tcPr>
            <w:tcW w:type="dxa" w:w="18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サービス種類</w:t>
            </w:r>
          </w:p>
        </w:tc>
        <w:tc>
          <w:tcPr>
            <w:tcW w:type="dxa" w:w="59"/>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町内の定員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認知症対応型共同生活介護</w:t>
              <w:br/>
              <w:t xml:space="preserve">（介護予防を含む）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br/>
              <w:t xml:space="preserve">第9期計画値は月27.0人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0人（事業所なし）</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地域密着型介護老人福祉施設入所者生活介護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［要確認］</w:t>
            </w:r>
          </w:p>
        </w:tc>
      </w:tr>
    </w:tbl>
    <w:p>
      <w:pPr>
        <w:spacing w:after="80" w:before="180" w:line="300"/>
      </w:pPr>
      <w:r>
        <w:rPr>
          <w:rFonts w:ascii="游ゴシック" w:cs="游ゴシック" w:eastAsia="游ゴシック" w:hAnsi="游ゴシック"/>
          <w:i w:val="false"/>
          <w:iCs w:val="false"/>
          <w:sz w:val="20"/>
          <w:szCs w:val="20"/>
        </w:rPr>
        <w:t xml:space="preserve">⚠ 見込量は、川崎町の被保険者が利用する量であり、町内の事業所の定員とは一致しません。町外の事業所を利用する町民が含まれるためです（住所地特例24人・令和8年3月末）。認知症対応型共同生活介護の第9期計画値は年324人（月27.0人）で、令和7年度の実績は月25.9人（対計画比96.0％）です。中長期では、令和17年度29.5人／月・令和22年度31.3人／月と見込まれ、27人を上回ります。町内の事業所の定員は確認事項No.29としてご確認をお願いしています。</w:t>
      </w:r>
    </w:p>
    <w:p>
      <w:pPr>
        <w:spacing w:after="80" w:before="80" w:line="280"/>
        <w:ind w:left="288"/>
      </w:pPr>
      <w:r>
        <w:rPr>
          <w:rFonts w:ascii="游ゴシック" w:cs="游ゴシック" w:eastAsia="游ゴシック" w:hAnsi="游ゴシック"/>
          <w:i/>
          <w:iCs/>
          <w:sz w:val="20"/>
          <w:szCs w:val="20"/>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1"/>
          <w:szCs w:val="21"/>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0"/>
          <w:szCs w:val="20"/>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に要支援認定者数の伸びを乗じて求めています。包括的支援事業及び任意事業は、事業ごとの実績データが未受領のため、量の見込みを掲げていません［要確認］。</w:t>
      </w:r>
    </w:p>
    <w:p>
      <w:pPr>
        <w:spacing w:after="80" w:before="180" w:line="300"/>
      </w:pPr>
      <w:r>
        <w:rPr>
          <w:rFonts w:ascii="游ゴシック" w:cs="游ゴシック" w:eastAsia="游ゴシック" w:hAnsi="游ゴシック"/>
          <w:b w:val="1"/>
          <w:bCs w:val="1"/>
          <w:i w:val="false"/>
          <w:iCs w:val="false"/>
          <w:sz w:val="21"/>
          <w:szCs w:val="21"/>
        </w:rPr>
        <w:t xml:space="preserve">　▌ 介護予防・日常生活支援総合事業の量の見込み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61"/>
        <w:gridCol w:w="95"/>
        <w:gridCol w:w="84"/>
        <w:gridCol w:w="84"/>
        <w:gridCol w:w="84"/>
        <w:gridCol w:w="124"/>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w:t>
            </w:r>
          </w:p>
        </w:tc>
        <w:tc>
          <w:tcPr>
            <w:tcW w:type="dxa" w:w="6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9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訪問介護相当サービス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通所介護相当サービス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要支援認定者数の伸び</w:t>
            </w:r>
          </w:p>
        </w:tc>
      </w:tr>
    </w:tbl>
    <w:p>
      <w:pPr>
        <w:spacing w:after="80" w:before="180" w:line="300"/>
      </w:pPr>
      <w:r>
        <w:rPr>
          <w:rFonts w:ascii="游ゴシック" w:cs="游ゴシック" w:eastAsia="游ゴシック" w:hAnsi="游ゴシック"/>
          <w:b w:val="1"/>
          <w:bCs w:val="1"/>
          <w:i w:val="false"/>
          <w:iCs w:val="false"/>
          <w:sz w:val="21"/>
          <w:szCs w:val="21"/>
        </w:rPr>
        <w:t xml:space="preserve">　▌ 認知症施策に係る地域支援事業の量の見込み</w:t>
      </w:r>
    </w:p>
    <w:p>
      <w:pPr>
        <w:spacing w:after="80" w:before="50" w:line="320"/>
        <w:ind w:firstLine="200"/>
        <w:jc w:val="left"/>
      </w:pPr>
      <w:r>
        <w:rPr>
          <w:rFonts w:ascii="游ゴシック" w:cs="游ゴシック" w:eastAsia="游ゴシック" w:hAnsi="游ゴシック"/>
          <w:i w:val="false"/>
          <w:iCs w:val="false"/>
          <w:sz w:val="20"/>
          <w:szCs w:val="20"/>
        </w:rPr>
        <w:t xml:space="preserve">認知症総合支援事業（包括的支援事業）の量の見込みは次のとおりです。令和7年度の実績に、認定者数又は第1号被保険者数の伸びを乗じています。事業の性質上、回数が事業計画により定まるもの（もの忘れ相談・チーム員会議・認知症カフェ）は据え置いています。認知症初期集中支援チームの訪問件数は、令和5年度の80件から令和7年度見込12件へ減少しており、下表はこの水準を延ばしたものです。活動量の回復を図る場合は、目標値を別に定めます［要協議］。</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
        <w:gridCol w:w="64"/>
        <w:gridCol w:w="77"/>
        <w:gridCol w:w="77"/>
        <w:gridCol w:w="77"/>
        <w:gridCol w:w="77"/>
        <w:gridCol w:w="108"/>
      </w:tblGrid>
      <w:tr>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事業・項目</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単位</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延ばし方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もの忘れ相談　延相談件数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チーム員会議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対象者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認知症初期集中支援　訪問件数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件／年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認定者数の伸び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実施回数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回／年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認知症カフェ「喫茶みかん」　延利用者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第1号被保険者数の伸び</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認知症サポーター養成講座　受講者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人／年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据え置き</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出典は町提供実績データ（令和8年9月1日受領）08シートです。認知症サポーター養成講座の受講者数は、保険者努力支援交付金の集計（令和7年3月31日時点577人）と町提供データの累計（令和7年度見込642人）とで食い違いがあり、確認中です［要確認］。包括的支援事業・任意事業の事業別の費用は未受領のため、量と費用の対応は事業別実績の受領後に整理します。</w:t>
      </w:r>
    </w:p>
    <w:p>
      <w:pPr>
        <w:spacing w:after="80" w:before="180" w:line="300"/>
      </w:pPr>
      <w:r>
        <w:rPr>
          <w:rFonts w:ascii="游ゴシック" w:cs="游ゴシック" w:eastAsia="游ゴシック" w:hAnsi="游ゴシック"/>
          <w:b w:val="1"/>
          <w:bCs w:val="1"/>
          <w:i w:val="false"/>
          <w:iCs w:val="false"/>
          <w:sz w:val="21"/>
          <w:szCs w:val="21"/>
        </w:rPr>
        <w:t xml:space="preserve">　▌ 地域支援事業費の見込み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r>
    </w:tbl>
    <w:p>
      <w:pPr>
        <w:spacing w:after="80" w:before="30" w:line="260"/>
        <w:jc w:val="right"/>
      </w:pPr>
      <w:r>
        <w:rPr>
          <w:rFonts w:ascii="游ゴシック" w:cs="游ゴシック" w:eastAsia="游ゴシック" w:hAnsi="游ゴシック"/>
          <w:i/>
          <w:iCs/>
          <w:sz w:val="20"/>
          <w:szCs w:val="20"/>
        </w:rPr>
        <w:t xml:space="preserve">介護予防・日常生活支援総合事業の量は、地域包括ケア「見える化」システムに入力されている値（訪問介護相当 令和9年度44人・令和10年度46人・令和11年度47人、通所介護相当 同54人・51人・48人）とは異なります。本計画は要支援認定者数の伸びにより一貫して延ばしているのに対し、システムの入力値は通所介護相当が減少する置き方になっているためです。事業ごとの実績データのご提供を受けたうえで、第2回策定委員会で確認します。</w:t>
      </w:r>
    </w:p>
    <w:p>
      <w:pPr>
        <w:spacing w:after="100" w:before="200" w:line="320"/>
      </w:pPr>
      <w:r>
        <w:rPr>
          <w:rFonts w:ascii="游ゴシック" w:cs="游ゴシック" w:eastAsia="游ゴシック" w:hAnsi="游ゴシック"/>
          <w:b w:val="1"/>
          <w:bCs w:val="1"/>
          <w:i w:val="false"/>
          <w:iCs w:val="false"/>
          <w:sz w:val="26"/>
          <w:szCs w:val="26"/>
        </w:rPr>
        <w:t xml:space="preserve">9-2　介護給付費の見込み</w:t>
      </w:r>
    </w:p>
    <w:p>
      <w:pPr>
        <w:spacing w:after="80" w:before="180" w:line="300"/>
      </w:pPr>
      <w:r>
        <w:rPr>
          <w:rFonts w:ascii="游ゴシック" w:cs="游ゴシック" w:eastAsia="游ゴシック" w:hAnsi="游ゴシック"/>
          <w:b w:val="1"/>
          <w:bCs w:val="1"/>
          <w:i w:val="false"/>
          <w:iCs w:val="false"/>
          <w:sz w:val="21"/>
          <w:szCs w:val="21"/>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1"/>
          <w:szCs w:val="21"/>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8"/>
        <w:gridCol w:w="90"/>
        <w:gridCol w:w="90"/>
        <w:gridCol w:w="90"/>
        <w:gridCol w:w="90"/>
        <w:gridCol w:w="84"/>
        <w:gridCol w:w="88"/>
      </w:tblGrid>
      <w:tr>
        <w:tc>
          <w:tcPr>
            <w:tcW w:type="dxa" w:w="16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w:t>
              <w:br/>
              <w:t xml:space="preserve">実績</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令和17年度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令和22年度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1,016,634千円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1,110,612千円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1,218,805千円</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54,083千円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31,030千円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第10期 3か年計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地域支援事業費
148,788千円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合計
3,462,713千円</w:t>
              <w:b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0"/>
          <w:szCs w:val="20"/>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148,788千円（第9期計画91,560千円）で、両者を合わせた3か年計は3,462,713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6"/>
          <w:szCs w:val="26"/>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1"/>
          <w:szCs w:val="21"/>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6,822円／B 6,143円／C 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 +322円／B ▲357円／C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6,822円は、これを385円下回ります。</w:t>
      </w:r>
    </w:p>
    <w:p>
      <w:pPr>
        <w:spacing w:after="60" w:before="120"/>
        <w:jc w:val="center"/>
      </w:pPr>
      <w:r>
        <w:rPr>
          <w:rFonts w:ascii="游ゴシック" w:hAnsi="游ゴシック" w:eastAsia="游ゴシック" w:cs="游ゴシック"/>
          <w:sz w:val="21"/>
          <w:szCs w:val="21"/>
        </w:rP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0"/>
          <w:szCs w:val="20"/>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1"/>
          <w:szCs w:val="21"/>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（標準給付費見込額＋地域支援事業費）× 第1号被保険者負担割合。第9期は23％。第10期の割合は政令で定められ、24％となった場合は月額約309円の上昇となる（9-4の感度表）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後期高齢者割合・所得段階別人口により交付率を算定。本算定は見える化システムの自動計算値（令和9年度6.14％・令和10年度5.93％・令和11年度5.69％）を用いた。標準の5.0％となった場合は月額約274円の上昇となるため、宮城県への照会を要する（9-4の感度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1"/>
          <w:szCs w:val="21"/>
        </w:rPr>
        <w:t xml:space="preserve">　▌ 保険料基準額の算定式</w:t>
      </w:r>
    </w:p>
    <w:p>
      <w:pPr>
        <w:spacing w:after="200" w:before="200" w:line="360"/>
        <w:jc w:val="center"/>
      </w:pPr>
      <w:r>
        <w:rPr>
          <w:rFonts w:ascii="游ゴシック" w:cs="游ゴシック" w:eastAsia="游ゴシック" w:hAnsi="游ゴシック"/>
          <w:i w:val="false"/>
          <w:iCs w:val="false"/>
          <w:sz w:val="20"/>
          <w:szCs w:val="20"/>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0"/>
          <w:szCs w:val="20"/>
        </w:rPr>
        <w:t xml:space="preserve">ここで「保険料収納必要額」は3年間の合計値です。「所得段階別加入割合補正後被保険者数」は、所得段階別の被保険者数に各段階の基準額に対する割合（乗率）を乗じて合計した値です。本算定では、令和7年度末の13段階別実績（計3,240人）から求めた補正係数1.0137を3か年計9,611人に乗じ、9,743.1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1"/>
          <w:szCs w:val="21"/>
        </w:rPr>
        <w:t xml:space="preserve">　▌ 第10期 保険料算定表</w:t>
      </w:r>
    </w:p>
    <w:p>
      <w:pPr>
        <w:spacing w:after="80" w:before="50" w:line="320"/>
        <w:ind w:firstLine="200"/>
        <w:jc w:val="left"/>
      </w:pPr>
      <w:r>
        <w:rPr>
          <w:rFonts w:ascii="游ゴシック" w:cs="游ゴシック" w:eastAsia="游ゴシック" w:hAnsi="游ゴシック"/>
          <w:i w:val="false"/>
          <w:iCs w:val="false"/>
          <w:sz w:val="20"/>
          <w:szCs w:val="20"/>
        </w:rPr>
        <w:t xml:space="preserve">記号は、地域包括ケア「見える化」システムの推計ツール及び厚生労働省「市町村介護保険事業計画作成の手引き」の保険料算出表に対応しています。保険料は3か年を通じて同一の額とするため、月額基準額は3か年計から算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4"/>
        <w:gridCol w:w="91"/>
        <w:gridCol w:w="91"/>
        <w:gridCol w:w="91"/>
        <w:gridCol w:w="91"/>
        <w:gridCol w:w="91"/>
        <w:gridCol w:w="91"/>
      </w:tblGrid>
      <w:tr>
        <w:tc>
          <w:tcPr>
            <w:tcW w:type="dxa" w:w="1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記号</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第10期計</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令和9年度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令和10年度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令和11年度</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算式・確定資料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標準給付費見込額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1,104,974千円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総給付費＋特定入所者＋高額介護＋高額医療合算＋審査支払手数料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148,788千円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53,159千円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9-1の地域支援事業費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合計（A＋B）</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3,462,713千円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1,152,872千円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1,151,708千円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1,158,133千円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第1号被保険者負担分の算定基礎</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第1号被保険者負担分相当額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796,425千円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265,161千円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264,893千円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266,371千円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（A＋B）×23％。第10期の割合は政令による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調整交付金相当額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166,672千円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55,681千円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55,431千円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55,560千円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A×5％＋総合事業費×5％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E</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調整交付金見込額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197,345千円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68,377千円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65,741千円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63,227千円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（A＋総合事業費）×見込交付割合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保険料収納必要額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765,752千円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252,465千円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254,583千円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258,704千円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C＋D－E＋F＋G±H－I</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F・G・H</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財政安定化基金拠出金・償還金等</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川崎町ではいずれも0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I</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介護給付費準備基金取崩額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［要協議］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基金残高・取崩方針（第3回策定委員会）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第9期と同じ。総合収納率の実績は96.3〜96.7％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所得段階別加入割合補正後被保険者数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9,743.1人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3,275人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3,247人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3,221人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第1号被保険者数×補正係数1.013748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算定上の月額基準額（取崩しを行わない場合）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6,822円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J÷収納率÷③÷12。3か年を通じて同一の額とする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0"/>
          <w:szCs w:val="20"/>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1,359円分に相当し（表101の算定式による直接換算。円単位に丸めた基準額の差引きでは1,358円）、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
        <w:gridCol w:w="198"/>
        <w:gridCol w:w="100"/>
      </w:tblGrid>
      <w:tr>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dxa" w:w="19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金額・方針</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有効票</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令和7年度末 基金残高（令和8年6月確定）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148,100千円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令和8年度末 基金残高（見込み）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152,500千円（保険料に換算して月額約1,359円分）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第10期 取崩額（3パターン）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A：取崩なし 0千円／B：50％取崩 76,250千円／C：全額取崩 152,500千円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第11期以降への影響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基金温存（パターンA）は次期の保険料急騰リスクを抑制／全額取崩（パターンC）は次期の負担が増大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576件</w:t>
            </w:r>
          </w:p>
        </w:tc>
      </w:tr>
    </w:tbl>
    <w:p>
      <w:pPr>
        <w:spacing w:after="80" w:before="180" w:line="300"/>
      </w:pPr>
      <w:r>
        <w:rPr>
          <w:rFonts w:ascii="游ゴシック" w:cs="游ゴシック" w:eastAsia="游ゴシック" w:hAnsi="游ゴシック"/>
          <w:b w:val="1"/>
          <w:bCs w:val="1"/>
          <w:i w:val="false"/>
          <w:iCs w:val="false"/>
          <w:sz w:val="21"/>
          <w:szCs w:val="21"/>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0"/>
          <w:szCs w:val="20"/>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
        <w:gridCol w:w="80"/>
        <w:gridCol w:w="220"/>
        <w:gridCol w:w="100"/>
        <w:gridCol w:w="60"/>
      </w:tblGrid>
      <w:tr>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パターン</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基金取崩方針</w:t>
            </w:r>
          </w:p>
        </w:tc>
        <w:tc>
          <w:tcPr>
            <w:tcW w:type="dxa" w:w="2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特徴</w:t>
            </w:r>
          </w:p>
        </w:tc>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A</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基金取崩なし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6,822円（第9期比 +322円）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B</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基金50%取崩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給付費増を相殺し、第9期を下回る水準を確保。次期負担との均衡を取る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6,143円（第9期比 ▲357円）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C</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基金全額取崩</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5,464円（第9期比 ▲1,036円）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増大</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令和7年度の実績を基礎として算定すると、月額基準額はパターンA 6,822円、パターンB 6,143円、パターンC 5,464円となります。第9期の6,500円との差は、それぞれ＋322円、▲357円、▲1,036円です。準備基金152,500千円は保険料に換算して月額約1,359円分に相当します。取崩しを行わないパターンAでも、第9期の取崩し前の水準（7,206.92円）を385円下回ります。</w:t>
      </w:r>
    </w:p>
    <w:p>
      <w:pPr>
        <w:spacing w:after="80" w:before="50" w:line="320"/>
        <w:ind w:firstLine="200"/>
        <w:jc w:val="left"/>
      </w:pPr>
      <w:r>
        <w:rPr>
          <w:rFonts w:ascii="游ゴシック" w:cs="游ゴシック" w:eastAsia="游ゴシック" w:hAnsi="游ゴシック"/>
          <w:i w:val="false"/>
          <w:iCs w:val="false"/>
          <w:sz w:val="20"/>
          <w:szCs w:val="20"/>
        </w:rPr>
        <w:t xml:space="preserve">この算定には、なお次の不確定要素があります。①介護給付費準備基金の令和8年度末残高（152,500千円）は見込値であり、取崩方針とあわせて第3回策定委員会で決定します。②調整交付金の見込交付割合は全国の仮置値による自動計算値（令和9年度6.14％・令和10年度5.93％・令和11年度5.69％）を用いており、標準の5.0％となった場合は月額約274円上がります。③令和9年度の介護報酬改定の内容は未確定です。④第10期の第1号被保険者負担割合が24％と定められた場合は、月額約309円上がります。それぞれの効きは下表のとおりで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1"/>
          <w:szCs w:val="21"/>
        </w:rPr>
        <w:t xml:space="preserve">　▌ 前提を動かした場合の幅</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30"/>
        <w:gridCol w:w="140"/>
        <w:gridCol w:w="70"/>
        <w:gridCol w:w="60"/>
      </w:tblGrid>
      <w:tr>
        <w:tc>
          <w:tcPr>
            <w:tcW w:type="dxa" w:w="1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前提</w:t>
            </w:r>
          </w:p>
        </w:tc>
        <w:tc>
          <w:tcPr>
            <w:tcW w:type="dxa" w:w="1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本算定の置き方</w:t>
            </w:r>
          </w:p>
        </w:tc>
        <w:tc>
          <w:tcPr>
            <w:tcW w:type="dxa" w:w="1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動かした場合</w:t>
            </w:r>
          </w:p>
        </w:tc>
        <w:tc>
          <w:tcPr>
            <w:tcW w:type="dxa"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月額基準額</w:t>
            </w:r>
          </w:p>
        </w:tc>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差</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介護給付費準備基金の取崩し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0円（算定Ａ）</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76,250千円（50％取崩し・算定Ｂ）</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152,500千円（全額取崩し・算定Ｃ）</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5,464円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▲1,358円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78,000千円（第9期と同額）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6,127円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▲695円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第1号被保険者負担割合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7,131円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＋309円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調整交付金の見込交付割合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令和9年度6.14％・令和10年度5.93％・令和11年度5.69％（自動計算値）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5.0％（標準）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7,096円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＋274円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介護報酬改定率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0％（令和7年度の単価で固定）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6,888円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7,018円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＋196円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予定保険料収納率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96.0％（第9期と同じ）</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99.6％（令和7年度の現年度分実績）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6,576円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▲246円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システムの現行値（3か年148,788千円）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令和7年度実績で据え置き（3か年109,827千円）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6,743円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所得段階別加入割合の補正係数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1.013748（令和7年度末の実績）</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0.964047（見える化システムの登録値）</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7,174円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＋352円</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各欄は、本算定から当該の前提のみを動かした場合の値です。複数を同時に動かした場合の値ではありません。効きが大きいのは介護給付費準備基金の取崩しと所得段階別加入割合の補正係数で、いずれも第3回策定委員会までに確定します。</w:t>
      </w:r>
    </w:p>
    <w:p>
      <w:pPr>
        <w:spacing w:after="80" w:before="180" w:line="300"/>
      </w:pPr>
      <w:r>
        <w:rPr>
          <w:rFonts w:ascii="游ゴシック" w:cs="游ゴシック" w:eastAsia="游ゴシック" w:hAnsi="游ゴシック"/>
          <w:b w:val="1"/>
          <w:bCs w:val="1"/>
          <w:i w:val="false"/>
          <w:iCs w:val="false"/>
          <w:sz w:val="21"/>
          <w:szCs w:val="21"/>
        </w:rPr>
        <w:t xml:space="preserve">　▌ 認知症施策の追加による保険料への影響（財源別）</w:t>
      </w:r>
    </w:p>
    <w:p>
      <w:pPr>
        <w:spacing w:after="80" w:before="50" w:line="320"/>
        <w:ind w:firstLine="200"/>
        <w:jc w:val="left"/>
      </w:pPr>
      <w:r>
        <w:rPr>
          <w:rFonts w:ascii="游ゴシック" w:cs="游ゴシック" w:eastAsia="游ゴシック" w:hAnsi="游ゴシック"/>
          <w:i w:val="false"/>
          <w:iCs w:val="false"/>
          <w:sz w:val="20"/>
          <w:szCs w:val="20"/>
        </w:rPr>
        <w:t xml:space="preserve">第6章6-4に掲げた事業の追加候補が保険料に影響するかどうかは、どの財源で実施するかによって決まります。地域支援事業（介護予防・日常生活支援総合事業、包括的支援事業、任意事業）は第1号被保険者の保険料が財源の23％を占めるため保険料に影響し、町の一般会計で実施する啓発・印刷等は保険料に影響しません。下表の月額への影響は、表101の予定保険料収納率96.0％及び所得段階別加入割合補正後被保険者数9,743.1人により算定した概算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10"/>
        <w:gridCol w:w="150"/>
        <w:gridCol w:w="80"/>
        <w:gridCol w:w="80"/>
        <w:gridCol w:w="80"/>
      </w:tblGrid>
      <w:tr>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実施の形</w:t>
            </w:r>
          </w:p>
        </w:tc>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財源構成（令和8年度）</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毎年100万円増の月額影響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毎年500万円増の月額影響</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包括的支援事業・任意事業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第1号保険料23％／国38.5％／県19.25％／町19.25％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本人ミーティング・ピアサポート・認知症総合支援事業・伴走型支援等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介護予防・日常生活支援総合事業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第1号保険料23％／第2号保険料27％／国25％／県12.5％／町12.5％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約＋6.1円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約＋30.7円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通いの場等による介護予防（再掲）。第1号の割合は上記と同じ23％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町の一般会計（啓発・印刷・旅費）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町の一般財源100％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認知症ケアパスの印刷費・関係機関への働きかけの旅費等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宮城県の事業・国庫補助事業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県費・国費（町の負担分を除く）</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認知症対応力向上研修・若年性認知症支援コーディネーター・認知症希望大使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介護給付・介護予防給付</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第1号保険料23％／第2号27％／国20〜25％／県・町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別途算定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サービスの新設・利用増は9-1のサービス見込量及び給付費で算定する。本表の概算は用いない</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第10期の第1号被保険者負担割合が24％と定められた場合、毎年100万円増の影響は約＋6.4円、毎年500万円増の影響は約＋32.1円となります。本表は、追加候補の金額が確定していないため、「毎年いくら増えたら月額がいくら動くか」を示す換算表です。個々の事業の金額は、第2回策定委員会の選択1のご判断を経て積算し、第3回策定委員会（令和9年1月）で保険料に反映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0"/>
          <w:szCs w:val="20"/>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第1〜第3段階（住民税世帯非課税）986人・30.4％（令和7年度末）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13段階別の実績（令和7年度末）を反映済み。国の標準乗率の提示を受けて負担への影響を試算する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1"/>
          <w:szCs w:val="21"/>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0"/>
          <w:szCs w:val="20"/>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1"/>
          <w:szCs w:val="21"/>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厚生労働省 第9期介護保険料の状況</w:t>
            </w:r>
          </w:p>
        </w:tc>
      </w:tr>
    </w:tbl>
    <w:p>
      <w:pPr>
        <w:spacing w:after="80" w:before="80" w:line="280"/>
        <w:ind w:left="288"/>
      </w:pPr>
      <w:r>
        <w:rPr>
          <w:rFonts w:ascii="游ゴシック" w:cs="游ゴシック" w:eastAsia="游ゴシック" w:hAnsi="游ゴシック"/>
          <w:i/>
          <w:iCs/>
          <w:sz w:val="20"/>
          <w:szCs w:val="20"/>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1"/>
          <w:szCs w:val="21"/>
        </w:rPr>
        <w:t xml:space="preserve">　▌ 所得段階別保険料（第10期は算定Ｂによる参考値）</w:t>
      </w:r>
    </w:p>
    <w:p>
      <w:pPr>
        <w:spacing w:after="80" w:before="50" w:line="320"/>
        <w:ind w:firstLine="200"/>
        <w:jc w:val="left"/>
      </w:pPr>
      <w:r>
        <w:rPr>
          <w:rFonts w:ascii="游ゴシック" w:cs="游ゴシック" w:eastAsia="游ゴシック" w:hAnsi="游ゴシック"/>
          <w:i w:val="false"/>
          <w:iCs w:val="false"/>
          <w:sz w:val="20"/>
          <w:szCs w:val="20"/>
        </w:rPr>
        <w:t xml:space="preserve">所得段階別の保険料は、基準額に各段階の乗率を乗じて算定します。下表は、令和6年度から適用している13段階の乗率をそのまま用い、第10期の算定Ｂ（基金50％取崩・月額6,143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
        <w:gridCol w:w="180"/>
        <w:gridCol w:w="80"/>
        <w:gridCol w:w="90"/>
        <w:gridCol w:w="90"/>
      </w:tblGrid>
      <w:tr>
        <w:tc>
          <w:tcPr>
            <w:tcW w:type="dxa" w:w="6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dxa" w:w="1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対象</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基準額に対する割合</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第9期 月額</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 月額（算定Ｂ）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0.455（軽減後0.285）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2,795円（軽減後1,751円）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0.685（軽減後0.485）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4,208円（軽減後2,979円）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世帯非課税／年金収入等120万円超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0.690（軽減後0.685）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4,239円（軽減後4,208円）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5,529円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第5段階（基準）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世帯課税・本人非課税／年金収入等80万円超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1.00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7,372円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本人課税／合計所得120万円以上210万円未満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7,986円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本人課税／合計所得210万円以上320万円未満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9,215円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本人課税／合計所得320万円以上420万円未満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1.70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10,443円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第10段階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本人課税／合計所得420万円以上520万円未満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11,672円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本人課税／合計所得520万円以上620万円未満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12,900円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本人課税／合計所得620万円以上720万円未満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14,129円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本人課税／合計所得720万円以上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14,743円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出典：乗率及び第9期月額は第9期計画書95頁。第10期月額は本計画の算定Ｂ（月額6,143円）に第9期の乗率を乗じた参考値であり、国の標準乗率の提示を経て確定する</w:t>
      </w:r>
    </w:p>
    <w:p>
      <w:pPr>
        <w:spacing w:after="80" w:before="50" w:line="320"/>
        <w:ind w:firstLine="200"/>
        <w:jc w:val="left"/>
      </w:pPr>
      <w:r>
        <w:rPr>
          <w:rFonts w:ascii="游ゴシック" w:cs="游ゴシック" w:eastAsia="游ゴシック" w:hAnsi="游ゴシック"/>
          <w:i w:val="false"/>
          <w:iCs w:val="false"/>
          <w:sz w:val="21"/>
          <w:szCs w:val="21"/>
        </w:rPr>
        <w:t xml:space="preserve">　▌ 低所得者支援</w:t>
      </w:r>
    </w:p>
    <w:p>
      <w:pPr>
        <w:spacing w:after="80" w:before="180" w:line="300"/>
      </w:pPr>
      <w:r>
        <w:rPr>
          <w:rFonts w:ascii="游ゴシック" w:cs="游ゴシック" w:eastAsia="游ゴシック" w:hAnsi="游ゴシック"/>
          <w:i w:val="false"/>
          <w:iCs w:val="false"/>
          <w:sz w:val="20"/>
          <w:szCs w:val="20"/>
        </w:rPr>
        <w:t xml:space="preserve">保険料及び利用者負担が、必要なサービスの利用を妨げることのないよう、次の制度を適切に周知し運用します。所得段階別の保険料（前項）と対で運用するものです。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4"/>
        <w:gridCol w:w="144"/>
        <w:gridCol w:w="96"/>
        <w:gridCol w:w="56"/>
      </w:tblGrid>
      <w:tr>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制度・取組</w:t>
            </w:r>
          </w:p>
        </w:tc>
        <w:tc>
          <w:tcPr>
            <w:tcW w:type="dxa" w:w="14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確認する指標</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所管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保険料の公費軽減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第1〜第3段階の保険料を公費により軽減する（第1段階は乗率0.455を0.285に、第2段階は0.685を0.485に、第3段階は0.690を0.685に）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対象者数、適用率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利用者負担の月額上限を超えた分を支給する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特定入所者介護サービス費（負担限度額認定）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施設等の食費・居住費の負担を軽減する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認定者数、更新の状況、未申請者の有無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社会福祉法人等による利用者負担の軽減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対象となる法人・サービスの利用者負担を軽減する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実施法人数、対象者数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保健福祉課・社会福祉法人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高額医療合算介護サービス費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医療保険と介護保険の自己負担の合算額が上限を超えた分を支給する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対象者数、支給額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納付・利用の相談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保険料の滞納及び利用控えを早期に把握し、支援につなげる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相談件数、分納の状況、必要なサービスへの接続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保健福祉課・地域包括支援センター</w:t>
            </w:r>
          </w:p>
        </w:tc>
      </w:tr>
    </w:tbl>
    <w:p>
      <w:pPr>
        <w:spacing w:after="80" w:before="180" w:line="300"/>
      </w:pPr>
      <w:r>
        <w:rPr>
          <w:rFonts w:ascii="游ゴシック" w:cs="游ゴシック" w:eastAsia="游ゴシック" w:hAnsi="游ゴシック"/>
          <w:i w:val="false"/>
          <w:iCs w:val="false"/>
          <w:sz w:val="20"/>
          <w:szCs w:val="20"/>
        </w:rPr>
        <w:t xml:space="preserve">⚠ 上記のうち、対象者数・適用率・未申請者の有無は現時点で把握していません。とくに特定入所者介護サービス費（負担限度額認定）及び社会福祉法人等による利用者負担の軽減は、申請がなければ適用されないため、未申請者の把握が要ります。第10期では、毎年度これらを確認し、未申請と考えられる方への案内を行います（第10章10-2）。</w:t>
      </w:r>
    </w:p>
    <w:p>
      <w:pPr>
        <w:spacing w:after="80" w:before="180" w:line="300"/>
      </w:pPr>
      <w:r>
        <w:rPr>
          <w:rFonts w:ascii="游ゴシック" w:cs="游ゴシック" w:eastAsia="游ゴシック" w:hAnsi="游ゴシック"/>
          <w:b w:val="1"/>
          <w:bCs w:val="1"/>
          <w:i w:val="false"/>
          <w:iCs w:val="false"/>
          <w:sz w:val="21"/>
          <w:szCs w:val="21"/>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0"/>
          <w:szCs w:val="20"/>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0"/>
          <w:szCs w:val="20"/>
        </w:rPr>
        <w:t xml:space="preserve">②　</w:t>
      </w:r>
      <w:r>
        <w:rPr>
          <w:rFonts w:ascii="游ゴシック" w:cs="游ゴシック" w:eastAsia="游ゴシック" w:hAnsi="游ゴシック"/>
          <w:i w:val="false"/>
          <w:iCs w:val="false"/>
          <w:sz w:val="20"/>
          <w:szCs w:val="20"/>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0"/>
          <w:szCs w:val="20"/>
        </w:rPr>
        <w:t xml:space="preserve">④　</w:t>
      </w:r>
      <w:r>
        <w:rPr>
          <w:rFonts w:ascii="游ゴシック" w:cs="游ゴシック" w:eastAsia="游ゴシック" w:hAnsi="游ゴシック"/>
          <w:i w:val="false"/>
          <w:iCs w:val="false"/>
          <w:sz w:val="20"/>
          <w:szCs w:val="20"/>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0"/>
          <w:szCs w:val="20"/>
        </w:rPr>
        <w:t xml:space="preserve">⑤　</w:t>
      </w:r>
      <w:r>
        <w:rPr>
          <w:rFonts w:ascii="游ゴシック" w:cs="游ゴシック" w:eastAsia="游ゴシック" w:hAnsi="游ゴシック"/>
          <w:i w:val="false"/>
          <w:iCs w:val="false"/>
          <w:sz w:val="20"/>
          <w:szCs w:val="20"/>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0"/>
          <w:szCs w:val="20"/>
        </w:rPr>
        <w:t xml:space="preserve">⑥　</w:t>
      </w:r>
      <w:r>
        <w:rPr>
          <w:rFonts w:ascii="游ゴシック" w:cs="游ゴシック" w:eastAsia="游ゴシック" w:hAnsi="游ゴシック"/>
          <w:i w:val="false"/>
          <w:iCs w:val="false"/>
          <w:sz w:val="20"/>
          <w:szCs w:val="20"/>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0"/>
          <w:szCs w:val="20"/>
        </w:rPr>
        <w:t xml:space="preserve">⑦　</w:t>
      </w:r>
      <w:r>
        <w:rPr>
          <w:rFonts w:ascii="游ゴシック" w:cs="游ゴシック" w:eastAsia="游ゴシック" w:hAnsi="游ゴシック"/>
          <w:i w:val="false"/>
          <w:iCs w:val="false"/>
          <w:sz w:val="20"/>
          <w:szCs w:val="20"/>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20"/>
          <w:szCs w:val="20"/>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28"/>
          <w:szCs w:val="28"/>
        </w:rPr>
        <w:t xml:space="preserve">第 10 章</w:t>
      </w:r>
    </w:p>
    <w:p>
      <w:pPr>
        <w:spacing w:after="140" w:before="0" w:line="320"/>
      </w:pPr>
      <w:r>
        <w:rPr>
          <w:rFonts w:ascii="游ゴシック" w:cs="游ゴシック" w:eastAsia="游ゴシック" w:hAnsi="游ゴシック"/>
          <w:b w:val="1"/>
          <w:bCs w:val="1"/>
          <w:i w:val="false"/>
          <w:iCs w:val="false"/>
          <w:sz w:val="20"/>
          <w:szCs w:val="2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0"/>
          <w:szCs w:val="20"/>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6"/>
          <w:szCs w:val="26"/>
        </w:rPr>
        <w:t xml:space="preserve">10-1　推進体制</w:t>
      </w:r>
    </w:p>
    <w:p>
      <w:pPr>
        <w:spacing w:after="80" w:before="180" w:line="300"/>
      </w:pPr>
      <w:r>
        <w:rPr>
          <w:rFonts w:ascii="游ゴシック" w:cs="游ゴシック" w:eastAsia="游ゴシック" w:hAnsi="游ゴシック"/>
          <w:b w:val="1"/>
          <w:bCs w:val="1"/>
          <w:i w:val="false"/>
          <w:iCs w:val="false"/>
          <w:sz w:val="21"/>
          <w:szCs w:val="21"/>
        </w:rPr>
        <w:t xml:space="preserve">　▌ 町の体制</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6"/>
          <w:szCs w:val="26"/>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6"/>
          <w:szCs w:val="26"/>
        </w:rPr>
        <w:t xml:space="preserve">10-3　計画の評価と見直し</w:t>
      </w:r>
    </w:p>
    <w:p>
      <w:pPr>
        <w:spacing w:after="80" w:before="180" w:line="300"/>
      </w:pPr>
      <w:r>
        <w:rPr>
          <w:rFonts w:ascii="游ゴシック" w:cs="游ゴシック" w:eastAsia="游ゴシック" w:hAnsi="游ゴシック"/>
          <w:b w:val="1"/>
          <w:bCs w:val="1"/>
          <w:i w:val="false"/>
          <w:iCs w:val="false"/>
          <w:sz w:val="21"/>
          <w:szCs w:val="21"/>
        </w:rPr>
        <w:t xml:space="preserve">　▌ 評価の仕組み</w:t>
      </w:r>
    </w:p>
    <w:p>
      <w:pPr>
        <w:spacing w:after="80" w:before="50" w:line="320"/>
        <w:ind w:firstLine="200"/>
        <w:jc w:val="left"/>
      </w:pPr>
      <w:r>
        <w:rPr>
          <w:rFonts w:ascii="游ゴシック" w:cs="游ゴシック" w:eastAsia="游ゴシック" w:hAnsi="游ゴシック"/>
          <w:i w:val="false"/>
          <w:iCs w:val="false"/>
          <w:sz w:val="20"/>
          <w:szCs w:val="20"/>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0"/>
          <w:szCs w:val="20"/>
        </w:rPr>
        <w:t xml:space="preserve">①　</w:t>
      </w:r>
      <w:r>
        <w:rPr>
          <w:rFonts w:ascii="游ゴシック" w:cs="游ゴシック" w:eastAsia="游ゴシック" w:hAnsi="游ゴシック"/>
          <w:i w:val="false"/>
          <w:iCs w:val="false"/>
          <w:sz w:val="20"/>
          <w:szCs w:val="20"/>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0"/>
          <w:szCs w:val="20"/>
        </w:rPr>
        <w:t xml:space="preserve">②　中間評価：計画期間の中間年（R10年度）に、策定委員会または同等の組織で中間評価</w:t>
      </w:r>
      <w:r>
        <w:rPr>
          <w:rFonts w:ascii="游ゴシック" w:cs="游ゴシック" w:eastAsia="游ゴシック" w:hAnsi="游ゴシック"/>
          <w:i w:val="false"/>
          <w:iCs w:val="false"/>
          <w:sz w:val="20"/>
          <w:szCs w:val="20"/>
        </w:rPr>
        <w:t xml:space="preserve"/>
      </w:r>
    </w:p>
    <w:p>
      <w:pPr>
        <w:spacing w:after="40" w:before="40" w:line="300"/>
        <w:ind w:left="431"/>
      </w:pPr>
      <w:r>
        <w:rPr>
          <w:rFonts w:ascii="游ゴシック" w:cs="游ゴシック" w:eastAsia="游ゴシック" w:hAnsi="游ゴシック"/>
          <w:i w:val="false"/>
          <w:iCs w:val="false"/>
          <w:sz w:val="20"/>
          <w:szCs w:val="20"/>
        </w:rPr>
        <w:t xml:space="preserve">③　</w:t>
      </w:r>
      <w:r>
        <w:rPr>
          <w:rFonts w:ascii="游ゴシック" w:cs="游ゴシック" w:eastAsia="游ゴシック" w:hAnsi="游ゴシック"/>
          <w:i w:val="false"/>
          <w:iCs w:val="false"/>
          <w:sz w:val="20"/>
          <w:szCs w:val="20"/>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1"/>
          <w:szCs w:val="21"/>
        </w:rPr>
        <w:t xml:space="preserve">　▌ 計画の見直し</w:t>
      </w:r>
    </w:p>
    <w:p>
      <w:pPr>
        <w:spacing w:after="80" w:before="50" w:line="320"/>
        <w:ind w:firstLine="200"/>
        <w:jc w:val="left"/>
      </w:pPr>
      <w:r>
        <w:rPr>
          <w:rFonts w:ascii="游ゴシック" w:cs="游ゴシック" w:eastAsia="游ゴシック" w:hAnsi="游ゴシック"/>
          <w:i w:val="false"/>
          <w:iCs w:val="false"/>
          <w:sz w:val="20"/>
          <w:szCs w:val="20"/>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1"/>
          <w:szCs w:val="21"/>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0"/>
          <w:szCs w:val="20"/>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6"/>
          <w:szCs w:val="26"/>
        </w:rPr>
        <w:t xml:space="preserve">10-4　KPI管理表</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1"/>
          <w:szCs w:val="21"/>
        </w:rPr>
        <w:t xml:space="preserve">　▌ KPIの3階層</w:t>
      </w:r>
    </w:p>
    <w:p>
      <w:pPr>
        <w:spacing w:after="80" w:before="50" w:line="320"/>
        <w:ind w:firstLine="200"/>
        <w:jc w:val="left"/>
      </w:pPr>
      <w:r>
        <w:rPr>
          <w:rFonts w:ascii="游ゴシック" w:cs="游ゴシック" w:eastAsia="游ゴシック" w:hAnsi="游ゴシック"/>
          <w:i w:val="false"/>
          <w:iCs w:val="false"/>
          <w:sz w:val="20"/>
          <w:szCs w:val="20"/>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1"/>
          <w:szCs w:val="21"/>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7"/>
                <w:szCs w:val="17"/>
              </w:rPr>
              <w:t xml:space="preserve">保健福祉課／国保連・年1回</w:t>
            </w:r>
          </w:p>
        </w:tc>
      </w:tr>
    </w:tbl>
    <w:p>
      <w:pPr>
        <w:spacing w:after="80" w:before="80" w:line="280"/>
        <w:ind w:left="288"/>
      </w:pPr>
      <w:r>
        <w:rPr>
          <w:rFonts w:ascii="游ゴシック" w:cs="游ゴシック" w:eastAsia="游ゴシック" w:hAnsi="游ゴシック"/>
          <w:i/>
          <w:iCs/>
          <w:sz w:val="20"/>
          <w:szCs w:val="20"/>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180" w:line="300"/>
      </w:pPr>
      <w:r>
        <w:rPr>
          <w:rFonts w:ascii="游ゴシック" w:cs="游ゴシック" w:eastAsia="游ゴシック" w:hAnsi="游ゴシック"/>
          <w:b w:val="1"/>
          <w:bCs w:val="1"/>
          <w:i w:val="false"/>
          <w:iCs w:val="false"/>
          <w:sz w:val="21"/>
          <w:szCs w:val="21"/>
        </w:rPr>
        <w:t xml:space="preserve">　▌ 交付金の失点の回復管理</w:t>
      </w:r>
    </w:p>
    <w:p>
      <w:pPr>
        <w:spacing w:after="80" w:before="50" w:line="320"/>
        <w:ind w:firstLine="200"/>
        <w:jc w:val="left"/>
      </w:pPr>
      <w:r>
        <w:rPr>
          <w:rFonts w:ascii="游ゴシック" w:cs="游ゴシック" w:eastAsia="游ゴシック" w:hAnsi="游ゴシック"/>
          <w:i w:val="false"/>
          <w:iCs w:val="false"/>
          <w:sz w:val="20"/>
          <w:szCs w:val="20"/>
        </w:rPr>
        <w:t xml:space="preserve">第3章3-3で特定した交付金の失点のうち、体制・取組指標群の3か所27点は、新たな事業も予算も要さず、仕組みを定めて実施することで得点できます。KPI管理表の体制指標として、次のとおり管理します。活動指標群のうち町の取組により直接動かせる2項目も併せて掲げ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
        <w:gridCol w:w="64"/>
        <w:gridCol w:w="104"/>
        <w:gridCol w:w="112"/>
      </w:tblGrid>
      <w:tr>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交付金の評価項目（配点）</w:t>
            </w:r>
          </w:p>
        </w:tc>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現状</w:t>
            </w:r>
          </w:p>
        </w:tc>
        <w:tc>
          <w:tcPr>
            <w:tcW w:type="dxa" w:w="10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第10期の目標</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本計画での位置／集計担当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評価結果の活用　ア　庁内で共有する場（4点）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年1回以上開催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8-4①／保健福祉課・年1回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イ　庁外の関係者の参画（4点）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策定委員会等に議題として報告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8-4②／保健福祉課・年1回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ウ　意見の施策への反映（4点）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翌年度の予算編成に反映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同　エ　評価結果の公表（4点）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0点（令和7年度は4点）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小項目ごとの得点まで公表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8-4④／保健福祉課・年1回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給付費適正化事業　ア　3事業の全てを実施（6点）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0点（要確認）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3事業すべてを実施し、該当状況調査で「実施」と回答</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8-2／保健福祉課・年1回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認知症　カ　計画の策定に着手（5点）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意見を反映させる仕組みを整えたうえで策定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6-1①／保健福祉課・地域包括支援センター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【小計】体制・取組指標群の失点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27点の回復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後期高齢者数と給付費の伸び率の比較（12点）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様式を定めて毎年度比較し公表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8-3③／保健福祉課・年1回</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生活支援コーディネーターの地域ケア会議への参加割合（4点）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0点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出席を運用で確保する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5-4第2節／社会福祉協議会・年1回</w:t>
            </w:r>
          </w:p>
        </w:tc>
      </w:tr>
    </w:tbl>
    <w:p>
      <w:pPr>
        <w:spacing w:after="80" w:before="50" w:line="320"/>
        <w:ind w:firstLine="200"/>
        <w:jc w:val="left"/>
      </w:pPr>
      <w:r>
        <w:rPr>
          <w:rFonts w:ascii="游ゴシック" w:cs="游ゴシック" w:eastAsia="游ゴシック" w:hAnsi="游ゴシック"/>
          <w:i w:val="false"/>
          <w:iCs w:val="false"/>
          <w:sz w:val="20"/>
          <w:szCs w:val="20"/>
        </w:rPr>
        <w:t xml:space="preserve">⚠ 交付金の得点は、交付額に直接に換算できません。保険者機能強化推進交付金及び介護保険保険者努力支援交付金の交付額は、固定の単価によるものではなく、各保険者の評価得点に第1号被保険者数を乗じた値を用いて、国全体の予算額を全保険者で按分して算定されます。したがって、本町の得点が上がっても、同時に他の保険者の得点が上がれば交付額は増えないことがあります。本計画では、得点の回復を「増額の可能性がある」ものとして扱い、金額の見込みは立てていません。第9章9-1の保険料算定における交付金の取扱いも、令和8年度の交付実績を据え置いています（確認事項No.39）。</w:t>
      </w:r>
    </w:p>
    <w:p>
      <w:pPr>
        <w:spacing w:after="80" w:before="50" w:line="320"/>
        <w:ind w:firstLine="200"/>
        <w:jc w:val="left"/>
      </w:pPr>
      <w:r>
        <w:rPr>
          <w:rFonts w:ascii="游ゴシック" w:cs="游ゴシック" w:eastAsia="游ゴシック" w:hAnsi="游ゴシック"/>
          <w:i w:val="false"/>
          <w:iCs w:val="false"/>
          <w:sz w:val="20"/>
          <w:szCs w:val="20"/>
        </w:rPr>
        <w:t xml:space="preserve">⚠ 「給付費適正化事業 ア」の現状は、3事業のいずれかが未実施なのか、実施していても国の該当状況調査で「実施」と回答していないのかを確認中です（確認事項No.127）。「PFS委託事業数」（12点）と「短期的な要介護度の変化」（40点）は、3-3に記したとおり本計画では追わない／一部取得を目標とするものであり、本表には掲げていません。</w:t>
      </w:r>
    </w:p>
    <w:p>
      <w:pPr>
        <w:spacing w:after="80" w:before="50" w:line="320"/>
        <w:ind w:firstLine="200"/>
        <w:jc w:val="left"/>
      </w:pPr>
      <w:r>
        <w:rPr>
          <w:rFonts w:ascii="游ゴシック" w:cs="游ゴシック" w:eastAsia="游ゴシック" w:hAnsi="游ゴシック"/>
          <w:i w:val="false"/>
          <w:iCs w:val="false"/>
          <w:sz w:val="20"/>
          <w:szCs w:val="20"/>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i w:val="false"/>
          <w:iCs w:val="false"/>
          <w:sz w:val="20"/>
          <w:szCs w:val="20"/>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i/>
          <w:iCs/>
          <w:sz w:val="20"/>
          <w:szCs w:val="20"/>
        </w:rPr>
        <w:t xml:space="preserve">本素案Ver.1.25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p>
      <w:pPr>
        <w:spacing w:after="100" w:before="200" w:line="320"/>
      </w:pPr>
      <w:r>
        <w:rPr>
          <w:rFonts w:ascii="游ゴシック" w:cs="游ゴシック" w:eastAsia="游ゴシック" w:hAnsi="游ゴシック"/>
          <w:i w:val="false"/>
          <w:iCs w:val="false"/>
          <w:sz w:val="20"/>
          <w:szCs w:val="20"/>
        </w:rPr>
        <w:t xml:space="preserve">図表番号一覧</w:t>
      </w:r>
    </w:p>
    <w:p>
      <w:pPr>
        <w:spacing w:after="80" w:before="180" w:line="300"/>
      </w:pPr>
      <w:r>
        <w:rPr>
          <w:rFonts w:ascii="游ゴシック" w:cs="游ゴシック" w:eastAsia="游ゴシック" w:hAnsi="游ゴシック"/>
          <w:i w:val="false"/>
          <w:iCs w:val="false"/>
          <w:sz w:val="20"/>
          <w:szCs w:val="20"/>
        </w:rPr>
        <w:t xml:space="preserve">本計画に掲載する図には「図N-M」（Nは章、Mは章内の通し番号）の番号を付し、本文の出現順に並べています。表には番号を付さず、各表の直前の見出し（▌）により示しています。図の差替え・加筆を行った場合は、本一覧と本文の番号を併せて改め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
        <w:gridCol w:w="152"/>
        <w:gridCol w:w="87"/>
        <w:gridCol w:w="125"/>
      </w:tblGrid>
      <w:tr>
        <w:tc>
          <w:tcPr>
            <w:tcW w:type="dxa"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図番号</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図表名</w:t>
            </w:r>
          </w:p>
        </w:tc>
        <w:tc>
          <w:tcPr>
            <w:tcW w:type="dxa" w:w="8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掲載箇所</w:t>
            </w:r>
          </w:p>
        </w:tc>
        <w:tc>
          <w:tcPr>
            <w:tcW w:type="dxa" w:w="12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7"/>
                <w:szCs w:val="17"/>
              </w:rPr>
              <w:t xml:space="preserve">出典</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第1号被保険者の年齢階級別推移（令和3年度末→令和7年度末）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2-1 人口・世帯の現状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介護保険事業状況報告（保険者データ R8.3月分・年報データ R3年度）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高齢化率比較（令和7年3月31日時点）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総務省「住民基本台帳に基づく人口、人口動態及び世帯数」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所得段階別第1号被保険者の構成（令和7年度末・計3,240人）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2-2 高齢者の状況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 所得段階別）</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サービス受給者の区分別構成（令和7年度の月平均・延べ450.0人）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2-3 要介護認定とサービス利用の状況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介護保険事業状況報告（年報・令和7年度／様式1の6）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サービス区分別の年間給付費（令和7年度実績・総額9.98億円）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2-4 介護給付費の状況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介護保険事業状況報告（年報・令和7年度／様式2給付費）</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図9-1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介護保険料月額基準額の推移と第10期の3パターン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7"/>
                <w:szCs w:val="17"/>
              </w:rPr>
              <w:t xml:space="preserve">9-3 介護保険料の算定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7"/>
                <w:szCs w:val="17"/>
              </w:rPr>
              <w:t xml:space="preserve">本計画の算定値</w:t>
            </w:r>
          </w:p>
        </w:tc>
      </w:tr>
    </w:tbl>
    <w:p>
      <w:pPr>
        <w:spacing w:after="80" w:before="180" w:line="300"/>
      </w:pPr>
      <w:r>
        <w:rPr>
          <w:rFonts w:ascii="游ゴシック" w:cs="游ゴシック" w:eastAsia="游ゴシック" w:hAnsi="游ゴシック"/>
          <w:i w:val="false"/>
          <w:iCs w:val="false"/>
          <w:sz w:val="20"/>
          <w:szCs w:val="20"/>
        </w:rPr>
        <w:t xml:space="preserve">⚠ 計画書（案）では、次の図を追加することを予定しています。①要介護認定者数と認定率の推移（2-3）②サービス見込量の推移（9-1）③第9期の計画値と実績値の対比（3-2・8-3）④交付金の得点の3か年推移と指標群別の内訳（3-3）⑤認知症施策のKPIの3層構造（6-3）。図の点数は、計画書の頁数（仕様書8は100頁程度）との兼ね合いで確定し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 Ver.2.5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pPr>
        <w:spacing w:after="120" w:line="276" w:lineRule="auto"/>
      </w:pPr>
    </w:pPrDefault>
  </w:docDefaults>
  <w:style xmlns:w="http://schemas.openxmlformats.org/wordprocessingml/2006/main" w:type="paragraph" w:default="1" w:styleId="Normal">
    <w:name w:val="Normal"/>
    <w:qFormat/>
    <w:pPr>
      <w:widowControl w:val="0"/>
      <w:jc w:val="both"/>
    </w:pPr>
    <w:rPr>
      <w:rFonts w:ascii="游ゴシック" w:hAnsi="游ゴシック" w:eastAsia="游ゴシック" w:cs="游ゴシック"/>
      <w:sz w:val="21"/>
      <w:szCs w:val="21"/>
    </w:rPr>
  </w:style>
  <w:style w:type="paragraph" w:styleId="Title">
    <w:name w:val="Title"/>
    <w:basedOn w:val="Normal"/>
    <w:next w:val="Normal"/>
    <w:qFormat/>
    <w:rPr>
      <w:rFonts w:ascii="游ゴシック" w:hAnsi="游ゴシック" w:eastAsia="游ゴシック" w:cs="游ゴシック"/>
      <w:sz w:val="56"/>
      <w:szCs w:val="56"/>
    </w:rPr>
  </w:style>
  <w:style w:type="paragraph" w:styleId="Heading1">
    <w:name w:val="Heading 1"/>
    <w:basedOn w:val="Normal"/>
    <w:next w:val="Normal"/>
    <w:qFormat/>
    <w:rPr>
      <w:b/>
      <w:bCs/>
      <w:rFonts w:ascii="游ゴシック" w:hAnsi="游ゴシック" w:eastAsia="游ゴシック" w:cs="游ゴシック"/>
      <w:color w:val="365F91"/>
      <w:sz w:val="28"/>
      <w:szCs w:val="28"/>
    </w:rPr>
  </w:style>
  <w:style w:type="paragraph" w:styleId="Heading2">
    <w:name w:val="Heading 2"/>
    <w:basedOn w:val="Normal"/>
    <w:next w:val="Normal"/>
    <w:qFormat/>
    <w:rPr>
      <w:b/>
      <w:bCs/>
      <w:rFonts w:ascii="游ゴシック" w:hAnsi="游ゴシック" w:eastAsia="游ゴシック" w:cs="游ゴシック"/>
      <w:color w:val="4F81BD"/>
      <w:sz w:val="26"/>
      <w:szCs w:val="26"/>
    </w:rPr>
  </w:style>
  <w:style w:type="paragraph" w:styleId="Heading3">
    <w:name w:val="Heading 3"/>
    <w:basedOn w:val="Normal"/>
    <w:next w:val="Normal"/>
    <w:qFormat/>
    <w:rPr>
      <w:b/>
      <w:bCs/>
      <w:rFonts w:ascii="游ゴシック" w:hAnsi="游ゴシック" w:eastAsia="游ゴシック" w:cs="游ゴシック"/>
      <w:color w:val="4F81BD"/>
      <w:sz w:val="21"/>
      <w:szCs w:val="21"/>
    </w:rPr>
  </w:style>
  <w:style w:type="paragraph" w:styleId="Heading4">
    <w:name w:val="Heading 4"/>
    <w:basedOn w:val="Normal"/>
    <w:next w:val="Normal"/>
    <w:qFormat/>
    <w:rPr>
      <w:b/>
      <w:bCs/>
      <w:rFonts w:ascii="游ゴシック" w:hAnsi="游ゴシック" w:eastAsia="游ゴシック" w:cs="游ゴシック"/>
      <w:i/>
      <w:iCs/>
      <w:color w:val="2E74B5"/>
      <w:sz w:val="21"/>
      <w:szCs w:val="21"/>
    </w:rPr>
  </w:style>
  <w:style w:type="paragraph" w:styleId="Heading5">
    <w:name w:val="Heading 5"/>
    <w:basedOn w:val="Normal"/>
    <w:next w:val="Normal"/>
    <w:qFormat/>
    <w:rPr>
      <w:b/>
      <w:bCs/>
      <w:rFonts w:ascii="游ゴシック" w:hAnsi="游ゴシック" w:eastAsia="游ゴシック" w:cs="游ゴシック"/>
      <w:color w:val="2E74B5"/>
      <w:sz w:val="21"/>
      <w:szCs w:val="21"/>
    </w:rPr>
  </w:style>
  <w:style w:type="paragraph" w:styleId="Heading6">
    <w:name w:val="Heading 6"/>
    <w:basedOn w:val="Normal"/>
    <w:next w:val="Normal"/>
    <w:qFormat/>
    <w:rPr>
      <w:b/>
      <w:bCs/>
      <w:rFonts w:ascii="游ゴシック" w:hAnsi="游ゴシック" w:eastAsia="游ゴシック" w:cs="游ゴシック"/>
      <w:color w:val="1F4D78"/>
      <w:sz w:val="21"/>
      <w:szCs w:val="21"/>
    </w:rPr>
  </w:style>
  <w:style w:type="paragraph" w:styleId="Strong">
    <w:name w:val="Strong"/>
    <w:basedOn w:val="Normal"/>
    <w:next w:val="Normal"/>
    <w:qFormat/>
    <w:rPr>
      <w:rFonts w:ascii="游ゴシック" w:hAnsi="游ゴシック" w:eastAsia="游ゴシック" w:cs="游ゴシック"/>
      <w:b/>
      <w:bCs/>
    </w:rPr>
  </w:style>
  <w:style w:type="paragraph" w:styleId="ListParagraph">
    <w:name w:val="List Paragraph"/>
    <w:basedOn w:val="Normal"/>
    <w:qFormat/>
    <w:rPr>
      <w:rFonts w:ascii="游ゴシック" w:hAnsi="游ゴシック" w:eastAsia="游ゴシック" w:cs="游ゴシック"/>
    </w:rPr>
  </w:style>
  <w:style w:type="character" w:styleId="Hyperlink">
    <w:name w:val="Hyperlink"/>
    <w:basedOn w:val="DefaultParagraphFont"/>
    <w:uiPriority w:val="99"/>
    <w:unhideWhenUsed/>
    <w:rPr>
      <w:rFonts w:ascii="游ゴシック" w:hAnsi="游ゴシック" w:eastAsia="游ゴシック" w:cs="游ゴシック"/>
      <w:color w:val="0563C1"/>
      <w:u w:val="single"/>
    </w:rPr>
  </w:style>
  <w:style w:type="character" w:styleId="FootnoteReference">
    <w:name w:val="footnote reference"/>
    <w:basedOn w:val="DefaultParagraphFont"/>
    <w:uiPriority w:val="99"/>
    <w:semiHidden/>
    <w:unhideWhenUsed/>
    <w:rPr>
      <w:rFonts w:ascii="游ゴシック" w:hAnsi="游ゴシック" w:eastAsia="游ゴシック" w:cs="游ゴシック"/>
      <w:vertAlign w:val="superscript"/>
    </w:rPr>
  </w:style>
  <w:style w:type="paragraph" w:styleId="FootnoteText">
    <w:name w:val="footnote text"/>
    <w:basedOn w:val="Normal"/>
    <w:link w:val="FootnoteTextChar"/>
    <w:uiPriority w:val="99"/>
    <w:semiHidden/>
    <w:unhideWhenUsed/>
    <w:pPr>
      <w:spacing w:after="0" w:line="240" w:lineRule="auto"/>
    </w:pPr>
    <w:rPr>
      <w:rFonts w:ascii="游ゴシック" w:hAnsi="游ゴシック" w:eastAsia="游ゴシック" w:cs="游ゴシック"/>
      <w:sz w:val="20"/>
      <w:szCs w:val="20"/>
    </w:rPr>
  </w:style>
  <w:style w:type="character" w:styleId="FootnoteTextChar">
    <w:name w:val="Footnote Text Char"/>
    <w:basedOn w:val="DefaultParagraphFont"/>
    <w:link w:val="FootnoteText"/>
    <w:uiPriority w:val="99"/>
    <w:semiHidden/>
    <w:unhideWhenUsed/>
    <w:rPr>
      <w:rFonts w:ascii="游ゴシック" w:hAnsi="游ゴシック" w:eastAsia="游ゴシック" w:cs="游ゴシック"/>
      <w:sz w:val="20"/>
      <w:szCs w:val="20"/>
    </w:rPr>
  </w:style>
  <w:style w:type="character" w:styleId="EndnoteReference">
    <w:name w:val="endnote reference"/>
    <w:basedOn w:val="DefaultParagraphFont"/>
    <w:uiPriority w:val="99"/>
    <w:semiHidden/>
    <w:unhideWhenUsed/>
    <w:rPr>
      <w:rFonts w:ascii="游ゴシック" w:hAnsi="游ゴシック" w:eastAsia="游ゴシック" w:cs="游ゴシック"/>
      <w:vertAlign w:val="superscript"/>
    </w:rPr>
  </w:style>
  <w:style w:type="paragraph" w:styleId="EndnoteText">
    <w:name w:val="endnote text"/>
    <w:basedOn w:val="Normal"/>
    <w:link w:val="EndnoteTextChar"/>
    <w:uiPriority w:val="99"/>
    <w:semiHidden/>
    <w:unhideWhenUsed/>
    <w:pPr>
      <w:spacing w:after="0" w:line="240" w:lineRule="auto"/>
    </w:pPr>
    <w:rPr>
      <w:rFonts w:ascii="游ゴシック" w:hAnsi="游ゴシック" w:eastAsia="游ゴシック" w:cs="游ゴシック"/>
      <w:sz w:val="20"/>
      <w:szCs w:val="20"/>
    </w:rPr>
  </w:style>
  <w:style w:type="character" w:styleId="EndnoteTextChar">
    <w:name w:val="Endnote Text Char"/>
    <w:basedOn w:val="DefaultParagraphFont"/>
    <w:link w:val="EndnoteText"/>
    <w:uiPriority w:val="99"/>
    <w:semiHidden/>
    <w:unhideWhenUsed/>
    <w:rPr>
      <w:rFonts w:ascii="游ゴシック" w:hAnsi="游ゴシック" w:eastAsia="游ゴシック" w:cs="游ゴシック"/>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