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Ver.2.7</w:t>
      </w:r>
    </w:p>
    <w:p>
      <w:pPr>
        <w:spacing w:after="80" w:before="80"/>
        <w:jc w:val="center"/>
      </w:pPr>
      <w:r>
        <w:rPr>
          <w:rFonts w:ascii="游ゴシック" w:cs="游ゴシック" w:eastAsia="游ゴシック" w:hAnsi="游ゴシック"/>
          <w:b w:val="false"/>
          <w:bCs w:val="false"/>
          <w:i/>
          <w:iCs/>
          <w:sz w:val="18"/>
          <w:szCs w:val="18"/>
        </w:rPr>
        <w:t xml:space="preserve">（図表追加版）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102</w:t>
            </w:r>
          </w:p>
        </w:tc>
      </w:tr>
    </w:tbl>
    <w:p>
      <w:pPr>
        <w:spacing w:after="80" w:before="80" w:line="280"/>
        <w:ind w:left="288"/>
      </w:pPr>
      <w:r>
        <w:rPr>
          <w:rFonts w:ascii="游ゴシック" w:cs="游ゴシック" w:eastAsia="游ゴシック" w:hAnsi="游ゴシック"/>
          <w:i/>
          <w:iCs/>
          <w:sz w:val="20"/>
          <w:szCs w:val="20"/>
        </w:rPr>
        <w:t xml:space="preserve">⚠ 頁番号は、本素案Ver.2.7の組版によるものです。図表の差替え・加筆により頁の割付けが動いた場合は、目次の頁番号も併せて更新します。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2.7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2-7・7-1・9-1。入所率・稼働率は2施設への照会による（確認事項No.29・No.159）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当社の作業環境のネットワーク制限により厚生労働省のウェブサイトを参照できないため、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生活困窮者自立支援及び生活保護部会（第30回）資料2・令和8年7月17日、介護保険最新情報Vol.1525・令和8年7月14日）との照合を町にお願いしています（確認事項No.151〜153）。</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30" w:line="260"/>
        <w:jc w:val="right"/>
      </w:pPr>
      <w:r>
        <w:rPr>
          <w:rFonts w:ascii="游ゴシック" w:cs="游ゴシック" w:eastAsia="游ゴシック" w:hAnsi="游ゴシック"/>
          <w:i/>
          <w:iCs/>
          <w:sz w:val="20"/>
          <w:szCs w:val="20"/>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bl>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
        <w:gridCol w:w="80"/>
        <w:gridCol w:w="120"/>
        <w:gridCol w:w="120"/>
        <w:gridCol w:w="50"/>
      </w:tblGrid>
      <w:tr>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実績（令和6年度→令和7年度）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見込量0。整備の予定を第2回策定委員会で確認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見込量0。認知症施策としては継続の位置付けとし、供給がない場合は近隣市町村の事業所の利用を支援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見込量0。第2章2-3の事業所一覧と突き合わせる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見込量0。介護療養型医療施設は令和5年度末（令和6年3月31日）で廃止済み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No.71</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