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80" w:line="300"/>
      </w:pPr>
      <w:r>
        <w:rPr>
          <w:rFonts w:ascii="游ゴシック" w:cs="游ゴシック" w:eastAsia="游ゴシック" w:hAnsi="游ゴシック"/>
          <w:b w:val="1"/>
          <w:bCs w:val="1"/>
          <w:i w:val="false"/>
          <w:iCs w:val="false"/>
          <w:sz w:val="21"/>
          <w:szCs w:val="21"/>
        </w:rPr>
        <w:t xml:space="preserve">川崎町高齢者保健福祉計画・第10期介護保険事業計画　別冊　詳細分析</w:t>
      </w:r>
    </w:p>
    <w:p>
      <w:pPr>
        <w:spacing w:after="80" w:before="50" w:line="320"/>
        <w:ind w:firstLine="200"/>
        <w:jc w:val="left"/>
      </w:pPr>
      <w:r>
        <w:rPr>
          <w:rFonts w:ascii="游ゴシック" w:cs="游ゴシック" w:eastAsia="游ゴシック" w:hAnsi="游ゴシック"/>
          <w:i w:val="false"/>
          <w:iCs w:val="false"/>
          <w:sz w:val="20"/>
          <w:szCs w:val="20"/>
        </w:rPr>
        <w:t xml:space="preserve">本別冊は、川崎町高齢者保健福祉計画・第10期介護保険事業計画の本文に掲げた分析のうち、詳細にわたる部分をまとめたものです。本文の 3-3（評価指標の達成状況）・9-3（介護保険料の算定）・6-4（認知症施策の体系）に対応します。計画の内容は本文に掲げており、本別冊はその根拠を示すものです。</w:t>
      </w:r>
    </w:p>
    <w:p>
      <w:pPr>
        <w:spacing w:after="80" w:before="180" w:line="300"/>
      </w:pPr>
      <w:r>
        <w:rPr>
          <w:rFonts w:ascii="游ゴシック" w:cs="游ゴシック" w:eastAsia="游ゴシック" w:hAnsi="游ゴシック"/>
          <w:b w:val="1"/>
          <w:bCs w:val="1"/>
          <w:i w:val="false"/>
          <w:iCs w:val="false"/>
          <w:sz w:val="21"/>
          <w:szCs w:val="21"/>
        </w:rPr>
        <w:t xml:space="preserve">1 交付金の評価の詳細</w:t>
      </w:r>
    </w:p>
    <w:p>
      <w:pPr>
        <w:spacing w:after="80" w:before="180" w:line="300"/>
      </w:pPr>
      <w:r>
        <w:rPr>
          <w:rFonts w:ascii="游ゴシック" w:cs="游ゴシック" w:eastAsia="游ゴシック" w:hAnsi="游ゴシック"/>
          <w:b w:val="1"/>
          <w:bCs w:val="1"/>
          <w:i w:val="false"/>
          <w:iCs w:val="false"/>
          <w:sz w:val="21"/>
          <w:szCs w:val="21"/>
        </w:rPr>
        <w:t xml:space="preserve">　▌ 規模区分・過疎地域該当ごとの平均（参考）</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令和8年度の市町村分（推進・支援合計800点満点）の分布は次のとおりです。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76"/>
        <w:gridCol w:w="64"/>
        <w:gridCol w:w="80"/>
        <w:gridCol w:w="80"/>
      </w:tblGrid>
      <w:tr>
        <w:tc>
          <w:tcPr>
            <w:tcW w:type="dxa" w:w="17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規模区分（第1号被保険者数）</w:t>
            </w:r>
          </w:p>
        </w:tc>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保険者数</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平均</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中央値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区分1　3千人未満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451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407.6点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408.0点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区分2　3千〜1万人未満（川崎町）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448.8点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456.0点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区分3　1万〜5万人未満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608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481.1点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488.0点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区分4　5万〜10万人未満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508.0点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517.0点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区分5　10万人以上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527.8点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535.5点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過疎地域該当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885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437.4点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445.0点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過疎地域非該当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855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473.5点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485.0点</w:t>
            </w:r>
          </w:p>
        </w:tc>
      </w:tr>
    </w:tbl>
    <w:p>
      <w:pPr>
        <w:spacing w:after="80" w:before="180" w:line="300"/>
      </w:pPr>
      <w:r>
        <w:rPr>
          <w:rFonts w:ascii="游ゴシック" w:cs="游ゴシック" w:eastAsia="游ゴシック" w:hAnsi="游ゴシック"/>
          <w:b w:val="1"/>
          <w:bCs w:val="1"/>
          <w:i w:val="false"/>
          <w:iCs w:val="false"/>
          <w:sz w:val="21"/>
          <w:szCs w:val="21"/>
        </w:rPr>
        <w:t xml:space="preserve">　▌ 3年間で変わらない強みと、一度も取れていない指標</w:t>
      </w:r>
    </w:p>
    <w:p>
      <w:pPr>
        <w:spacing w:after="80" w:before="50" w:line="320"/>
        <w:ind w:firstLine="200"/>
        <w:jc w:val="left"/>
      </w:pPr>
      <w:r>
        <w:rPr>
          <w:rFonts w:ascii="游ゴシック" w:cs="游ゴシック" w:eastAsia="游ゴシック" w:hAnsi="游ゴシック"/>
          <w:i w:val="false"/>
          <w:iCs w:val="false"/>
          <w:sz w:val="20"/>
          <w:szCs w:val="20"/>
        </w:rPr>
        <w:t xml:space="preserve">令和6年度から令和8年度までの3か年で、本町が満点を続けている指標は15項目・計241点あります。体制・取組指標が中心で、いずれも全国平均を大きく上回ります。とりわけ「難聴高齢者の早期発見・早期介入」は、令和7年度に指標が新設された初年度から2年連続で20点満点であり（全国平均は令和7年度4.5点・令和8年度6.9点）、制度ができる前から本町が取り組んでいたことを示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74"/>
        <w:gridCol w:w="36"/>
        <w:gridCol w:w="90"/>
      </w:tblGrid>
      <w:tr>
        <w:tc>
          <w:tcPr>
            <w:tcW w:type="dxa" w:w="17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3年連続で満点の指標（15項目・計241点）</w:t>
            </w:r>
          </w:p>
        </w:tc>
        <w:tc>
          <w:tcPr>
            <w:tcW w:type="dxa"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配点</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全国平均（R8）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庁内・庁外における連携体制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給付費適正化方策の策定状況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介護人材の確保・定着の取組状況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在宅医療・介護連携の具体的取組状況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医療・介護関係者間の情報共有</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認知症の早期診断・早期対応の体制構築</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地域の介護保険事業の特徴／事業計画の進捗状況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各16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14.9／13.3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アウトリーチ等の取組状況／介護予防・生活支援の体制整備</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各9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6.3／5.8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介護予防等と保健事業の一体的実施／通いの場参加者の健康状態の把握・分析／地域リハビリテーションの推進／多様なサービスの活用推進</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各7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4.0〜6.1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データを活用した課題の把握</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一方、3か年とも0点の指標が6項目・計68点あります。人生の最終段階における支援の実施状況（16点）、PFS委託事業数・介護の仕事の魅力に関する研修・介護人材の定着・資質向上に関する研修・認知症サポーター数（各12点）、生活支援コーディネーターの地域ケア会議への参加割合（4点）です。また、ケアプラン点検の実施状況は令和6年度8点から令和7・8年度は4点に下がり、全国平均6.4点を下回っています。</w:t>
      </w:r>
    </w:p>
    <w:p>
      <w:pPr>
        <w:spacing w:after="80" w:before="180" w:line="300"/>
      </w:pPr>
      <w:r>
        <w:rPr>
          <w:rFonts w:ascii="游ゴシック" w:cs="游ゴシック" w:eastAsia="游ゴシック" w:hAnsi="游ゴシック"/>
          <w:b w:val="1"/>
          <w:bCs w:val="1"/>
          <w:i w:val="false"/>
          <w:iCs w:val="false"/>
          <w:sz w:val="21"/>
          <w:szCs w:val="21"/>
        </w:rPr>
        <w:t xml:space="preserve">　▌ 失点を取り戻す順序</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に0点であった9指標について、同規模かつ過疎地域該当の285保険者のうちどれだけが満点を取っているかを数え、取りに行く順序を定めました。配点の大きさではなく、同規模の団体が現に取れているかどうかで順位を付け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
        <w:gridCol w:w="102"/>
        <w:gridCol w:w="177"/>
      </w:tblGrid>
      <w:tr>
        <w:tc>
          <w:tcPr>
            <w:tcW w:type="dxa" w:w="2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優先</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0点の指標（配点）</w:t>
            </w:r>
          </w:p>
        </w:tc>
        <w:tc>
          <w:tcPr>
            <w:tcW w:type="dxa" w:w="1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当面の方針（同規模285団体で満点を取っている数）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評価結果の活用（16点）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令和7年度は満点であった。仕組みを戻す（8-3・8-4）。同規模で満点110件（38.6％）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生活支援コーディネーターの地域ケア会議への参加割合（4点）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配置数は満点。会議への出席を運用で確保する。同規模で満点161件（56.5％）で最も取りやすい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認知症サポーター数（12点）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段階的に取りに行く（第6章）。同規模で満点32件（11.2％）・一部取得167件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後期高齢者と給付費の伸び率比較（12点）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給付費の伸びの管理と一体で（8-3）。同規模で満点15件（5.3％）・一部取得180件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短期的な要介護度の変化（要介護１・２）（40点）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満点は同規模に1件もない。一部取得（233件・81.8％）を目標とする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介護の仕事の魅力／定着・資質向上に関する研修（各12点）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第2回策定委員会の選択4のご判断による。同規模で満点15件／9件（3〜5％）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人生の最終段階における支援の実施状況（16点）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同規模平均3.6点で全国平均6.4点を下回る。ACPの実施記録を残す運用から始める。同規模で満点3件（1.1％）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PFS（成果連動型民間委託契約）委託事業数（12点）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第10期では追わない。同規模で満点1件（0.4％）・269件が0点</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PFS（成果連動型民間委託契約）委託事業数は、同規模285団体のうち満点が1件のみ・269件が0点で、全国平均も0.3点です。配点12点を追うより他に手を入れるべきであり、第10期計画には位置付けません。また「短期的な要介護度の変化」は同規模で満点が1件もない指標です。要介護認定は全国一律の基準により行われるべきものであり、交付金の評価を考慮して認定を行うことは不適切であることに留意しつつ、一部取得を目標とします。この順序は第8章8-3・8-4及び第10章10-4のKPI管理表に組み込みます。</w:t>
      </w:r>
    </w:p>
    <w:p>
      <w:pPr>
        <w:spacing w:after="80" w:before="180" w:line="300"/>
      </w:pPr>
      <w:r>
        <w:rPr>
          <w:rFonts w:ascii="游ゴシック" w:cs="游ゴシック" w:eastAsia="游ゴシック" w:hAnsi="游ゴシック"/>
          <w:b w:val="1"/>
          <w:bCs w:val="1"/>
          <w:i w:val="false"/>
          <w:iCs w:val="false"/>
          <w:sz w:val="21"/>
          <w:szCs w:val="21"/>
        </w:rPr>
        <w:t xml:space="preserve">　▌ 体制・取組指標群の失点は3か所・27点</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の失点272点のうち、体制・取組指標群の失点は27点にとどまります。その27点は次の3か所だけであり、いずれも新たな事業も予算も要さず、仕組みを定めて本計画に書くことで得点できます。失点の額としては小さいものの、取り戻せる確実性は最も高い部分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4"/>
        <w:gridCol w:w="24"/>
        <w:gridCol w:w="80"/>
        <w:gridCol w:w="192"/>
      </w:tblGrid>
      <w:tr>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失点した枝番</w:t>
            </w:r>
          </w:p>
        </w:tc>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配点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全国の得点率</w:t>
            </w:r>
          </w:p>
        </w:tc>
        <w:tc>
          <w:tcPr>
            <w:tcW w:type="dxa" w:w="19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要件と本計画での手当て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 目標Ⅰ（ⅰ）4　評価結果の活用　ア〜エ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ア83.1％／イ64.4％／ウ70.0％／エ50.3％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交付金の評価結果を庁内の関係各課で共有する場を年1回以上設ける。イ＝その場に庁外の関係者が参画する（策定委員会・地域ケア会議に議題を追加すれば足りる）。ウ＝その場の意見を施策の改善に活用する（一部の事業でよい）。エ＝直近年度の評価結果を小項目レベルの得点獲得状況まで公表する。→ 第8章8-4に手順を定める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 目標Ⅱ（ⅰ）2　給付費適正化事業の取組状況　ア（3事業の全てを実施）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96.9％（宮城県内91.4％）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要介護認定の適正化・ケアプラン等の点検・縦覧点検・医療情報との突合の3事業をすべて実施していることが要件。同じ項目のイ〜オ30点は満点であり、3事業のうち欠けているものを特定すれば足りる。→ 第8章8-2に位置付ける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支援 目標Ⅱ（ⅰ）1　カ　認知症の人及び家族等の意見を踏まえた市町村認知症施策推進計画の策定に着手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42.8％（同規模かつ過疎30.9％）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認知症の人と家族等が参画し意見を反映させる仕組みを整えたうえで策定に着手していることが要件。同じ項目のア〜オ20点は満点。→ 第6章6-1の策定手続がそのまま要件となる</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このうち後の2件は、項目の単位でみると得点しているため（給付費適正化事業の取組状況は36点中30点、認知症サポーター等を活用した地域支援体制の構築は25点中20点）、枝番の単位まで下ろして評価指標の本文と突き合わせることにより把握したものです。</w:t>
      </w:r>
    </w:p>
    <w:p>
      <w:pPr>
        <w:spacing w:after="80" w:before="50" w:line="320"/>
        <w:ind w:firstLine="200"/>
        <w:jc w:val="left"/>
      </w:pPr>
      <w:r>
        <w:rPr>
          <w:rFonts w:ascii="游ゴシック" w:cs="游ゴシック" w:eastAsia="游ゴシック" w:hAnsi="游ゴシック"/>
          <w:i w:val="false"/>
          <w:iCs w:val="false"/>
          <w:sz w:val="20"/>
          <w:szCs w:val="20"/>
        </w:rPr>
        <w:t xml:space="preserve">⚠ 「給付費適正化事業の取組状況」のアは、全国1,741保険者の96.9％が得点している項目です。本町が0点であるのは、3事業（要介護認定の適正化／ケアプラン等の点検／縦覧点検・医療情報との突合）のいずれかを実施していないか、実施していても該当状況調査で「実施」と回答していないかのいずれかです。同じ項目のイ〜オで30点を満点で得ているため、実施状況をご確認いただきます（確認事項No.127）。</w:t>
      </w:r>
    </w:p>
    <w:p>
      <w:pPr>
        <w:spacing w:after="80" w:before="50" w:line="320"/>
        <w:ind w:firstLine="200"/>
        <w:jc w:val="left"/>
      </w:pPr>
      <w:r>
        <w:rPr>
          <w:rFonts w:ascii="游ゴシック" w:cs="游ゴシック" w:eastAsia="游ゴシック" w:hAnsi="游ゴシック"/>
          <w:i w:val="false"/>
          <w:iCs w:val="false"/>
          <w:sz w:val="20"/>
          <w:szCs w:val="20"/>
        </w:rPr>
        <w:t xml:space="preserve">⚠ 「評価結果の活用」の16点は令和6・7年度に満点であり、令和8年度に4つの枝番がそろって0点になりました。ア（庁内で共有する場がある）から0点であることから、場そのものが設けられなかったものと考えられます。第2回策定委員会で交付金の評価結果をご報告することは、そのまま要件イ（庁外の関係者の参画）を満た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 交付金の得点は、交付額に直接に換算できません。保険者機能強化推進交付金及び介護保険保険者努力支援交付金の交付額は、固定の単価によるものではなく、各保険者の評価得点に第1号被保険者数を乗じた値を用いて、国全体の予算額を全保険者で按分して算定されます。したがって、本町の得点が上がっても、同時に他の保険者の得点が上がれば交付額は増えないことがあります。本計画では、得点の回復を「増額の可能性がある」ものとして扱い、金額の見込みは立てていません。第9章9-1の保険料算定における交付金の取扱いも、令和8年度の交付実績を据え置いています（確認事項No.39）。</w:t>
      </w:r>
    </w:p>
    <w:p>
      <w:pPr>
        <w:spacing w:after="80" w:before="180" w:line="300"/>
      </w:pPr>
      <w:r>
        <w:rPr>
          <w:rFonts w:ascii="游ゴシック" w:cs="游ゴシック" w:eastAsia="游ゴシック" w:hAnsi="游ゴシック"/>
          <w:b w:val="1"/>
          <w:bCs w:val="1"/>
          <w:i w:val="false"/>
          <w:iCs w:val="false"/>
          <w:sz w:val="21"/>
          <w:szCs w:val="21"/>
        </w:rPr>
        <w:t xml:space="preserve">　▌ 成果指向型配分枠（配点100点）</w:t>
      </w:r>
    </w:p>
    <w:p>
      <w:pPr>
        <w:spacing w:after="80" w:before="50" w:line="320"/>
        <w:ind w:firstLine="200"/>
        <w:jc w:val="left"/>
      </w:pPr>
      <w:r>
        <w:rPr>
          <w:rFonts w:ascii="游ゴシック" w:cs="游ゴシック" w:eastAsia="游ゴシック" w:hAnsi="游ゴシック"/>
          <w:i w:val="false"/>
          <w:iCs w:val="false"/>
          <w:sz w:val="20"/>
          <w:szCs w:val="20"/>
        </w:rPr>
        <w:t xml:space="preserve">保険者機能強化推進交付金には、上記の800点とは別に「成果指向型配分枠」（配点100点）があります。単一の指標で「成果指向型の介護予防・健康づくりに関する取組を行っているか」を問うもので、要件は次の5つです。いずれも本計画が既に満たしており、追加の事業も調査も要し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2"/>
        <w:gridCol w:w="78"/>
        <w:gridCol w:w="90"/>
      </w:tblGrid>
      <w:tr>
        <w:tc>
          <w:tcPr>
            <w:tcW w:type="dxa" w:w="1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要件（評価指標の留意点）</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本計画の該当箇所</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状況</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地域の介護給付費の動向・地域資源・医療・介護・健康づくりに関するデータ等、十分なデータに基づき地域分析を行い課題を設定している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第2章2-1〜2-5・第3章3-1〜3-2・第4章</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2調査718件と令和7年度実績により実施済み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年齢・状態・性別等の具体的な住民層を特定して対象層を設定している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第4章4-1（重点課題）・第5章5-3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「単身かつ家族介護なし」「本人が女性の世帯の50代以下の介護者」等を特定済み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データ等に基づく客観的な評価が行えるアウトプット指標を置いている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第10章10-4（KPI管理表）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活動指標として設定済み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対象層や社会に現れた変化を客観的に効果検証できるアウトカム指標を置いている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第10章10-4・第6章6-3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成果指標として設定済み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アウトプット指標・アウトカム指標に具体的な目標値を記載している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第10章10-4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第2回・第3回策定委員会で確定</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本枠は該当状況調査の結果により厚生労働省が算定するもので、全国一覧表（001732614.xlsx）に含まれていないため、本町の得点は把握できていません。宮城県を通じて確認します（確認事項No.128）。</w:t>
      </w:r>
    </w:p>
    <w:p>
      <w:pPr>
        <w:spacing w:after="80" w:before="180" w:line="300"/>
      </w:pPr>
      <w:r>
        <w:rPr>
          <w:rFonts w:ascii="游ゴシック" w:cs="游ゴシック" w:eastAsia="游ゴシック" w:hAnsi="游ゴシック"/>
          <w:b w:val="1"/>
          <w:bCs w:val="1"/>
          <w:i w:val="false"/>
          <w:iCs w:val="false"/>
          <w:sz w:val="21"/>
          <w:szCs w:val="21"/>
        </w:rPr>
        <w:t xml:space="preserve">2 保険料算定の感度分析</w:t>
      </w:r>
    </w:p>
    <w:p>
      <w:pPr>
        <w:spacing w:after="80" w:before="180" w:line="300"/>
      </w:pPr>
      <w:r>
        <w:rPr>
          <w:rFonts w:ascii="游ゴシック" w:cs="游ゴシック" w:eastAsia="游ゴシック" w:hAnsi="游ゴシック"/>
          <w:b w:val="1"/>
          <w:bCs w:val="1"/>
          <w:i w:val="false"/>
          <w:iCs w:val="false"/>
          <w:sz w:val="21"/>
          <w:szCs w:val="21"/>
        </w:rPr>
        <w:t xml:space="preserve">　▌ 前提を動かした場合の幅</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30"/>
        <w:gridCol w:w="140"/>
        <w:gridCol w:w="70"/>
        <w:gridCol w:w="60"/>
      </w:tblGrid>
      <w:tr>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前提</w:t>
            </w:r>
          </w:p>
        </w:tc>
        <w:tc>
          <w:tcPr>
            <w:tcW w:type="dxa" w:w="1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本算定の置き方</w:t>
            </w:r>
          </w:p>
        </w:tc>
        <w:tc>
          <w:tcPr>
            <w:tcW w:type="dxa" w:w="1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動かした場合</w:t>
            </w:r>
          </w:p>
        </w:tc>
        <w:tc>
          <w:tcPr>
            <w:tcW w:type="dxa" w:w="7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月額基準額</w:t>
            </w:r>
          </w:p>
        </w:tc>
        <w:tc>
          <w:tcPr>
            <w:tcW w:type="dxa" w:w="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介護給付費準備基金の取崩し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0円（算定Ａ）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76,250千円（50％取崩し・算定Ｂ）</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6,143円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▲679円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152,500千円（全額取崩し・算定Ｃ）</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5,464円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▲1,358円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78,000千円（第9期と同額）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6,127円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▲695円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第1号被保険者負担割合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7,131円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＋309円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調整交付金の見込交付割合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令和9年度6.14％・令和10年度5.93％・令和11年度5.69％（自動計算値）</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5.0％（標準）</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7,096円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＋274円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介護報酬改定率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0％（令和7年度の単価で固定）</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6,888円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＋66円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7,018円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＋196円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予定保険料収納率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96.0％（第9期と同じ）</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99.6％（令和7年度の現年度分実績）</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6,576円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▲246円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システムの現行値（3か年148,788千円）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令和7年度実績で据え置き（3か年109,827千円）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6,743円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所得段階別加入割合の補正係数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1.013748（令和7年度末の実績）</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0.964047（見える化システムの登録値）</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7,174円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＋352円</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各欄は、本算定から当該の前提のみを動かした場合の値です。複数を同時に動かした場合の値ではありません。効きが大きいのは介護給付費準備基金の取崩しと所得段階別加入割合の補正係数で、いずれも第3回策定委員会までに確定します。</w:t>
      </w:r>
    </w:p>
    <w:p>
      <w:pPr>
        <w:spacing w:after="80" w:before="180" w:line="300"/>
      </w:pPr>
      <w:r>
        <w:rPr>
          <w:rFonts w:ascii="游ゴシック" w:cs="游ゴシック" w:eastAsia="游ゴシック" w:hAnsi="游ゴシック"/>
          <w:b w:val="1"/>
          <w:bCs w:val="1"/>
          <w:i w:val="false"/>
          <w:iCs w:val="false"/>
          <w:sz w:val="21"/>
          <w:szCs w:val="21"/>
        </w:rPr>
        <w:t xml:space="preserve">　▌ 所得段階の乗率の検討（現行13段階）</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は令和6年度から13段階の所得段階を実施しています。第10期の論点は段階数ではなく、各段階の乗率の設定です。国は第10期に向けて標準段階数・標準乗率・公費による低所得者軽減の乗率を示す予定であり、その内容が確定した段階で、所得段階別被保険者数を用いて試算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第9期（令和6年度〜・現行）</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第10期の論点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段階数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13段階（令和5年度までの9段階から令和6年度に移行）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13段階を維持。国が示す標準段階数を確認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最低段階の保険料率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0.455（第1段階・公費軽減後0.285）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国の標準乗率及び公費による低所得者軽減の乗率を確認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最高段階の保険料率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2.40（第13段階・合計所得720万円以上）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高所得層の乗率の引上げ（弾力化）の可否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川崎町への影響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第1〜第3段階（住民税世帯非課税）986人・30.4％（令和7年度末）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13段階別の実績（令和7年度末）を反映済み。国の標準乗率の提示を受けて負担への影響を試算する</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市町村は条例により乗率を調整することができます。乗率を高所得層で引き上げ、低所得層で引き下げる（弾力化）と、基準額そのものは下がりますが高所得層の負担は増えます。具体的な乗率と影響額は、所得段階別被保険者数のご提供を受けたうえで、第3回策定委員会で協議します。</w:t>
      </w:r>
    </w:p>
    <w:p>
      <w:pPr>
        <w:spacing w:after="80" w:before="180" w:line="300"/>
      </w:pPr>
      <w:r>
        <w:rPr>
          <w:rFonts w:ascii="游ゴシック" w:cs="游ゴシック" w:eastAsia="游ゴシック" w:hAnsi="游ゴシック"/>
          <w:b w:val="1"/>
          <w:bCs w:val="1"/>
          <w:i w:val="false"/>
          <w:iCs w:val="false"/>
          <w:sz w:val="21"/>
          <w:szCs w:val="21"/>
        </w:rPr>
        <w:t xml:space="preserve">　▌ 予定収納率の設定</w:t>
      </w:r>
    </w:p>
    <w:p>
      <w:pPr>
        <w:spacing w:after="80" w:before="50" w:line="320"/>
        <w:ind w:firstLine="200"/>
        <w:jc w:val="left"/>
      </w:pPr>
      <w:r>
        <w:rPr>
          <w:rFonts w:ascii="游ゴシック" w:cs="游ゴシック" w:eastAsia="游ゴシック" w:hAnsi="游ゴシック"/>
          <w:i w:val="false"/>
          <w:iCs w:val="false"/>
          <w:sz w:val="20"/>
          <w:szCs w:val="20"/>
        </w:rPr>
        <w:t xml:space="preserve">予定収納率は、過去の保険料収納率の実績を踏まえて設定します。川崎町の総合収納率（滞納繰越分を含む）は、令和3年度96.3％・令和7年度96.7％で、令和2年度から令和7年度まで96.3〜96.7％で安定して推移しています。本計画では、第9期計画と同じ96.0％を用いました。なお、町提供実績データの令和7年度の値99.6％は、年報と突き合わせた結果、現年度分の収納率（99.56％）であることが確認できました。他の年度は滞納繰越分を含む総合収納率であり、範囲が異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令和3年度（年報）</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令和7年度（年報）</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特別徴収（年金天引）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100.0%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普通徴収（自主納付・現年度分）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87.3%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現年度分計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99.0%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99.6%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総合計（滞納繰越分含む）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96.3%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96.7%</w:t>
            </w:r>
          </w:p>
        </w:tc>
      </w:tr>
    </w:tbl>
    <w:p>
      <w:pPr>
        <w:spacing w:after="80" w:before="30" w:line="260"/>
        <w:jc w:val="right"/>
      </w:pPr>
      <w:r>
        <w:rPr>
          <w:rFonts w:ascii="游ゴシック" w:cs="游ゴシック" w:eastAsia="游ゴシック" w:hAnsi="游ゴシック"/>
          <w:i/>
          <w:iCs/>
          <w:sz w:val="17"/>
          <w:szCs w:val="17"/>
        </w:rPr>
        <w:t xml:space="preserve">出典：令和3年度・令和7年度：介護保険事業状況報告（年報・様式3）／令和2〜8年度：町提供実績データ（令和8年9月1日受領・05シート、出典は決算書）</w:t>
      </w:r>
    </w:p>
    <w:p>
      <w:pPr>
        <w:spacing w:after="80" w:before="180" w:line="300"/>
      </w:pPr>
      <w:r>
        <w:rPr>
          <w:rFonts w:ascii="游ゴシック" w:cs="游ゴシック" w:eastAsia="游ゴシック" w:hAnsi="游ゴシック"/>
          <w:b w:val="1"/>
          <w:bCs w:val="1"/>
          <w:i w:val="false"/>
          <w:iCs w:val="false"/>
          <w:sz w:val="21"/>
          <w:szCs w:val="21"/>
        </w:rPr>
        <w:t xml:space="preserve">3 認知症施策の追加候補（協議用）</w:t>
      </w:r>
    </w:p>
    <w:p>
      <w:pPr>
        <w:spacing w:after="80" w:before="180" w:line="300"/>
      </w:pPr>
      <w:r>
        <w:rPr>
          <w:rFonts w:ascii="游ゴシック" w:cs="游ゴシック" w:eastAsia="游ゴシック" w:hAnsi="游ゴシック"/>
          <w:b w:val="1"/>
          <w:bCs w:val="1"/>
          <w:i w:val="false"/>
          <w:iCs w:val="false"/>
          <w:sz w:val="21"/>
          <w:szCs w:val="21"/>
        </w:rPr>
        <w:t xml:space="preserve">　▌ 第2回策定委員会でご判断いただく事業の追加候補（15件）</w:t>
      </w:r>
    </w:p>
    <w:p>
      <w:pPr>
        <w:spacing w:after="80" w:before="50" w:line="320"/>
        <w:ind w:firstLine="200"/>
        <w:jc w:val="left"/>
      </w:pPr>
      <w:r>
        <w:rPr>
          <w:rFonts w:ascii="游ゴシック" w:cs="游ゴシック" w:eastAsia="游ゴシック" w:hAnsi="游ゴシック"/>
          <w:i w:val="false"/>
          <w:iCs w:val="false"/>
          <w:sz w:val="20"/>
          <w:szCs w:val="20"/>
        </w:rPr>
        <w:t xml:space="preserve">厚生労働省「都道府県・市町村向け認知症施策推進計画策定の手引き」3.4（1）の施策対応表（主な対応主体に市町村が含まれるもの47項目）及び認知症施策推進基本計画の重点目標1〜3のKPI（24指標）と本章を突き合わせたところ、次の15件が本章に位置付けられていませんでした。施策体系（7つの柱17節37項143事業）は第2回策定委員会のご判断により確定するため、本表は追加の候補として掲げるものです。手引き3.1（3）は「基本計画に記載されている全ての施策を実施する必要があるわけではなく、各地域における目指すべき姿の実現のために必要な施策を検討することが重要」としており、15件のすべてを実施しなければならないものではありません。費用区分は、追加の予算措置を要するかどうかの区分です。「既存人員・既存事業内で実施可能」としたものも担当職員の時間を要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
        <w:gridCol w:w="120"/>
        <w:gridCol w:w="190"/>
        <w:gridCol w:w="70"/>
        <w:gridCol w:w="80"/>
      </w:tblGrid>
      <w:tr>
        <w:tc>
          <w:tcPr>
            <w:tcW w:type="dxa"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追加候補の事業又は内容</w:t>
            </w:r>
          </w:p>
        </w:tc>
        <w:tc>
          <w:tcPr>
            <w:tcW w:type="dxa" w:w="1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w:t>
            </w:r>
          </w:p>
        </w:tc>
        <w:tc>
          <w:tcPr>
            <w:tcW w:type="dxa" w:w="7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費用区分</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財源・備考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未確認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認知症ケアパスの作成・更新・周知（第3節）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国のKPI 重点目標3アウトプット指標7は「基本法の趣旨を踏まえた認知症ケアパスの作成・更新・周知を行っている市町村の数」で、24指標のうち市町村の数を直接数える唯一の指標である（法定の必須成果物として定められたものではない）。交付金 支援 目標Ⅱ（ⅰ）2アの留意点でもケアパスの配布が例示されている。⚠ 本町における作成の有無・最終更新日・配布実績・ホームページ掲載の状況を確認中であり（確認事項No.137）、未作成であれば新規、更新が止まっていれば更新、作成・周知済みであれば継続・改善として整理す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編集は既存人員。印刷費は部数により積算（一般財源）。確認事項No.137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認知症バリアフリーの取組と地域の関係機関との連携（金融機関・小売業者・公共交通事業者）（第3節）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手引き2（1）2・2（1）9。国のKPI 重点目標3アウトプット指標5は「認知症バリアフリー宣言を行っている事業者の数」。6-2の第15条の欄には記しているが本節に事業がない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訪問・会議の旅費のみ。確認事項No.143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認知症の本人同士のピアサポート活動（第5節1）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国のKPI 重点目標2プロセス指標1・手引き3（1）1。5-3第1節3（2）のピアサポートは家族介護者のものであり別である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地域支援事業として計上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包括的支援事業（認知症総合支援事業）。本人ミーティングと一体で実施する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認知症の人の社会参加の支援（農業、商品の製造・販売、食堂の運営、地域活動やマルシェ等）（第5節1）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手引き3（2）2。交付金 支援 目標Ⅱ（ⅰ）1オ（4点）を本町は満点で得ており、実態としては行われている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現に行われている取組の確認が先。確認事項No.145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認知症サポーター養成講座への認知症の人の参画（第4節1（1）（4））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国のKPI 重点目標1プロセス指標2・手引き1（1）1・1（2）1。本人が受講者にメッセージを送る、受講者と対話する、講座の内容を本人の意見も踏まえて構成する、のいずれかで足りる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本人の交通費・謝金の要否を町と協議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本人発信支援と認知症希望大使の招請（第4節）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国のKPI 重点目標1プロセス指標3・手引き1（3）1・1（3）3・3（2）1。意見聴取において「第三者の力を借りる」手段としても有効である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宮城県の認知症希望大使の招請に係る旅費・謝金。県事業の枠組みを確認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認知症サポート医・認知症疾患医療センターの周知（第2節1（2）（3））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手引き5（2）1・6（1）2。交付金 支援 目標Ⅱ（ⅰ）2アの留意点も両者の周知を求めている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ケアパス又は広報・ホームページによる。確認事項No.138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認知症地域支援推進員の業務の明示（就労支援・診断後支援・ピアサポートを含む）（第3節1（1））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国のKPI 重点目標3アウトプット指標4は「就労支援も含めて個別の相談・支援を実施していることを明示した認知症地域支援推進員」を数える。手引き5（2）3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要綱・事業計画の記述の改めによる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行動・心理症状（BPSD）への対応力向上研修及び「新しい認知症観」を踏まえた認知症対応力向上研修（第4節1（5））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手引き5（1）3・5（3）1。国のKPI 重点目標3アウトプット指標3は受講者数を数える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宮城県の研修を活用。確認事項No.140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宮城県の若年性認知症支援コーディネーターとの連携（第5節1（2））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手引き3（3）3・5（2）4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連絡・同行に係る旅費のみ。確認事項No.144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重層的支援体制整備事業との連動（5-4第2節1（8））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手引き2（1）5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現行の財源のまま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災害発生時の高齢者支援対策（5-2第2節）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手引き2（1）8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現行の財源のまま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高齢者虐待の早期発見、早期解決（5-4第2節1（7））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手引き4（4）1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現行の財源のまま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通いの場等による介護予防（5-1・5-4第1節）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手引き8（1）1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介護予防・日常生活支援総合事業（現行の財源のまま）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検討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認知症の人と家族への一体的支援事業・認知症伴走型支援事業（第3節1（3）（4））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手引き6（1）1。いずれも地域支援事業（任意事業）である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地域支援事業として計上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任意事業。実施の可否を町にご判断いただく。確認事項No.141</w:t>
            </w:r>
          </w:p>
        </w:tc>
      </w:tr>
    </w:tbl>
    <w:p>
      <w:pPr>
        <w:spacing w:after="80" w:before="180" w:line="300"/>
      </w:pPr>
      <w:r>
        <w:rPr>
          <w:rFonts w:ascii="游ゴシック" w:cs="游ゴシック" w:eastAsia="游ゴシック" w:hAnsi="游ゴシック"/>
          <w:b w:val="1"/>
          <w:bCs w:val="1"/>
          <w:i w:val="false"/>
          <w:iCs w:val="false"/>
          <w:sz w:val="21"/>
          <w:szCs w:val="21"/>
        </w:rPr>
        <w:t xml:space="preserve">　▌ 追加候補の見込量・費用・財源の枠組み</w:t>
      </w:r>
    </w:p>
    <w:p>
      <w:pPr>
        <w:spacing w:after="80" w:before="50" w:line="320"/>
        <w:ind w:firstLine="200"/>
        <w:jc w:val="left"/>
      </w:pPr>
      <w:r>
        <w:rPr>
          <w:rFonts w:ascii="游ゴシック" w:cs="游ゴシック" w:eastAsia="游ゴシック" w:hAnsi="游ゴシック"/>
          <w:i w:val="false"/>
          <w:iCs w:val="false"/>
          <w:sz w:val="20"/>
          <w:szCs w:val="20"/>
        </w:rPr>
        <w:t xml:space="preserve">追加候補15件について、見込量の置き方・費用の考え方・財源を次のとおり整理します。金額は、実施方法が確定した段階で積算します。現時点で金額を確定できないため、第9章9-1のサービス見込量及び地域支援事業費には反映していません。地域支援事業として実施するものは、第9章9-3に示す財源構成により保険料に影響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15"/>
        <w:gridCol w:w="96"/>
        <w:gridCol w:w="144"/>
        <w:gridCol w:w="67"/>
        <w:gridCol w:w="78"/>
      </w:tblGrid>
      <w:tr>
        <w:tc>
          <w:tcPr>
            <w:tcW w:type="dxa" w:w="11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追加候補の事業</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見込量の置き方</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費用の考え方</w:t>
            </w:r>
          </w:p>
        </w:tc>
        <w:tc>
          <w:tcPr>
            <w:tcW w:type="dxa" w:w="6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費用区分</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財源</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認知症ケアパスの作成・更新・周知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作成1回・更新（3年に1回）・配布部数／年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編集は既存人員。印刷費＝部数×単価。町の既存の配布物の単価により積算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一般財源。国庫補助事業の活用の可否を確認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認知症バリアフリーの取組と地域の関係機関との連携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働きかけを行った事業者数／年・宣言を行った事業者数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会議・訪問に係る旅費のみ。謝金は要しない見込み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一般財源（旅費）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認知症の本人同士のピアサポート活動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開催回数／年・参加者数（本人ミーティングと一体で把握）</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会場費・茶菓代・記録の作成。既存の認知症カフェの場を用いる場合は追加費用が小さい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地域支援事業として計上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認知症の人の社会参加の支援（農業・製造販売・食堂等）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参加された方の人数・活動の回数／年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現に行われている取組の内容の確認が先（確認事項No.145）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包括的支援事業又は一般財源</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サポーター養成講座への認知症の人の参画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本人が参画した講座の回数／年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本人の交通費・謝金の要否を町と協議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本人発信支援・認知症希望大使の招請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招請の回数／年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宮城県の認知症希望大使の招請に係る旅費・謝金。県事業の枠組みを確認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県事業の活用又は一般財源</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認知症サポート医・認知症疾患医療センターの周知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周知の方法と回数／年（ケアパス・広報・ホームページ）</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ケアパスの印刷費に含める。広報・ホームページは追加費用を要しない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認知症地域支援推進員の業務の明示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推進員の人数・業務の種類（令和6年度は6種類・全国平均5.27）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配置は現に行われており、業務の明示は要綱・事業計画の記述の改めによる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BPSD対応力向上研修・「新しい認知症観」を踏まえた研修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受講者数／年（宮城県の研修）</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県の研修を活用するため、町の費用は受講の調整に係る事務のみ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県事業（受講費用は事業所負担）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宮城県の若年性認知症支援コーディネーターとの連携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連携の件数／年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連絡・同行に係る旅費のみ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一般財源（旅費）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再掲4件（重層的支援体制・災害時の支援・高齢者虐待・通いの場）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既に第4章・第5章で見込量を置いている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既存の事業であり、認知症施策としての再掲により費用は増えない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各事業の現行の財源</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認知症の人と家族への一体的支援事業・認知症伴走型支援事業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実施回数／年・参加世帯数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地域支援事業（任意事業）の補助単価による。実施の可否を町にご判断いただく</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地域支援事業として計上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任意事業（確認事項No.141）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本人ミーティング（新規事業として計上済み）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開催回数／年（目標 年2回以上）・参加者数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会場費・茶菓代・記録の作成・町職員の出席に係る時間</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地域支援事業として計上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チームオレンジの活動支援（拡充事業として計上済み）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チーム数・メンバー数・支援した認知症の人の数（確認事項No.46）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活動の実態の確認が先。送迎・活動拠点は地域の協力を得る形を検討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意見聴取の記録・反映台帳の管理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記録票の件数／年・台帳の更新回数／年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既存人員による。様式の印刷は少部数であり費用は小さい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既存人員・既存事業内で実施可能」としたものも、担当職員の時間を要します。本表は追加の予算措置を要するかどうかの区分であり、人件費が生じないという意味ではありません。また、いずれの事業も第2回策定委員会のご判断を経て確定するものであり、確定後に見込量と費用を積算し、第3回策定委員会で保険料に反映します。</w:t>
      </w:r>
    </w:p>
    <w:p>
      <w:pPr>
        <w:spacing w:after="0" w:before="240" w:line="320"/>
      </w:pPr>
      <w:r>
        <w:rPr>
          <w:rFonts w:ascii="游ゴシック" w:cs="游ゴシック" w:eastAsia="游ゴシック" w:hAnsi="游ゴシック"/>
          <w:b w:val="1"/>
          <w:bCs w:val="1"/>
          <w:i w:val="false"/>
          <w:iCs w:val="false"/>
          <w:sz w:val="28"/>
          <w:szCs w:val="28"/>
        </w:rPr>
        <w:t xml:space="preserve">第 7 章</w:t>
      </w:r>
    </w:p>
    <w:p>
      <w:pPr>
        <w:spacing w:after="140" w:before="0" w:line="320"/>
      </w:pPr>
      <w:r>
        <w:rPr>
          <w:rFonts w:ascii="游ゴシック" w:cs="游ゴシック" w:eastAsia="游ゴシック" w:hAnsi="游ゴシック"/>
          <w:b w:val="1"/>
          <w:bCs w:val="1"/>
          <w:i w:val="false"/>
          <w:iCs w:val="false"/>
          <w:sz w:val="20"/>
          <w:szCs w:val="20"/>
        </w:rPr>
        <w:t xml:space="preserve">サービス提供体制と介護人材の確保</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章は、第10期計画において新たに設けるものです。第9期計画では「福祉・介護人材の確保・定着支援」が施策の1項目として置かれていたのみでしたが、第1回策定委員会において介護人材とサービス提供体制が最大の論点となったこと、及び国においてサービス提供体制の確保が重要課題とされていることを踏まえ、独立した章として位置付け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本章は介護保険法第117条第3項第1号「各年度における種類ごとの介護給付等対象サービスの量の見込みを確保するための方策」に対応する。</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ゴシック" w:cs="游ゴシック" w:eastAsia="游ゴシック" w:hAnsi="游ゴシック"/>
        <w:color w:val="595959"/>
        <w:sz w:val="16"/>
        <w:szCs w:val="16"/>
      </w:rPr>
      <w:t xml:space="preserve">─ </w:t>
    </w:r>
    <w:r>
      <w:rPr>
        <w:rFonts w:ascii="游ゴシック" w:cs="游ゴシック" w:eastAsia="游ゴシック" w:hAnsi="游ゴシック"/>
        <w:color w:val="595959"/>
        <w:sz w:val="16"/>
        <w:szCs w:val="16"/>
      </w:rPr>
      <w:fldChar w:fldCharType="begin"/>
      <w:instrText xml:space="preserve">PAGE</w:instrText>
      <w:fldChar w:fldCharType="separate"/>
      <w:fldChar w:fldCharType="end"/>
    </w:r>
    <w:r>
      <w:rPr>
        <w:rFonts w:ascii="游ゴシック" w:cs="游ゴシック" w:eastAsia="游ゴシック" w:hAnsi="游ゴシック"/>
        <w:color w:val="59595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游ゴシック" w:cs="游ゴシック" w:eastAsia="游ゴシック" w:hAnsi="游ゴシック"/>
        <w:color w:val="595959"/>
        <w:sz w:val="16"/>
        <w:szCs w:val="16"/>
      </w:rPr>
      <w:t xml:space="preserve">川崎町高齢者保健福祉計画・第10期介護保険事業計画　計画書素案 Ver.2.18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ゴシック" w:cs="游ゴシック" w:eastAsia="游ゴシック" w:hAnsi="游ゴシック"/>
        <w:sz w:val="21"/>
        <w:szCs w:val="21"/>
      </w:rPr>
    </w:rPrDefault>
    <w:pPrDefault>
      <w:pPr>
        <w:spacing w:after="120" w:line="276" w:lineRule="auto"/>
      </w:pPr>
    </w:pPrDefault>
  </w:docDefaults>
  <w:style xmlns:w="http://schemas.openxmlformats.org/wordprocessingml/2006/main" w:type="paragraph" w:default="1" w:styleId="Normal">
    <w:name w:val="Normal"/>
    <w:qFormat/>
    <w:pPr>
      <w:widowControl w:val="0"/>
      <w:jc w:val="both"/>
    </w:pPr>
    <w:rPr>
      <w:rFonts w:ascii="游ゴシック" w:hAnsi="游ゴシック" w:eastAsia="游ゴシック" w:cs="游ゴシック"/>
      <w:sz w:val="21"/>
      <w:szCs w:val="21"/>
    </w:rPr>
  </w:style>
  <w:style w:type="paragraph" w:styleId="Title">
    <w:name w:val="Title"/>
    <w:basedOn w:val="Normal"/>
    <w:next w:val="Normal"/>
    <w:qFormat/>
    <w:rPr>
      <w:rFonts w:ascii="游ゴシック" w:hAnsi="游ゴシック" w:eastAsia="游ゴシック" w:cs="游ゴシック"/>
      <w:sz w:val="56"/>
      <w:szCs w:val="56"/>
    </w:rPr>
  </w:style>
  <w:style w:type="paragraph" w:styleId="Heading1">
    <w:name w:val="Heading 1"/>
    <w:basedOn w:val="Normal"/>
    <w:next w:val="Normal"/>
    <w:qFormat/>
    <w:rPr>
      <w:b/>
      <w:bCs/>
      <w:rFonts w:ascii="游ゴシック" w:hAnsi="游ゴシック" w:eastAsia="游ゴシック" w:cs="游ゴシック"/>
      <w:color w:val="365F91"/>
      <w:sz w:val="28"/>
      <w:szCs w:val="28"/>
    </w:rPr>
  </w:style>
  <w:style w:type="paragraph" w:styleId="Heading2">
    <w:name w:val="Heading 2"/>
    <w:basedOn w:val="Normal"/>
    <w:next w:val="Normal"/>
    <w:qFormat/>
    <w:rPr>
      <w:b/>
      <w:bCs/>
      <w:rFonts w:ascii="游ゴシック" w:hAnsi="游ゴシック" w:eastAsia="游ゴシック" w:cs="游ゴシック"/>
      <w:color w:val="4F81BD"/>
      <w:sz w:val="26"/>
      <w:szCs w:val="26"/>
    </w:rPr>
  </w:style>
  <w:style w:type="paragraph" w:styleId="Heading3">
    <w:name w:val="Heading 3"/>
    <w:basedOn w:val="Normal"/>
    <w:next w:val="Normal"/>
    <w:qFormat/>
    <w:rPr>
      <w:b/>
      <w:bCs/>
      <w:rFonts w:ascii="游ゴシック" w:hAnsi="游ゴシック" w:eastAsia="游ゴシック" w:cs="游ゴシック"/>
      <w:color w:val="4F81BD"/>
      <w:sz w:val="21"/>
      <w:szCs w:val="21"/>
    </w:rPr>
  </w:style>
  <w:style w:type="paragraph" w:styleId="Heading4">
    <w:name w:val="Heading 4"/>
    <w:basedOn w:val="Normal"/>
    <w:next w:val="Normal"/>
    <w:qFormat/>
    <w:rPr>
      <w:b/>
      <w:bCs/>
      <w:rFonts w:ascii="游ゴシック" w:hAnsi="游ゴシック" w:eastAsia="游ゴシック" w:cs="游ゴシック"/>
      <w:i/>
      <w:iCs/>
      <w:color w:val="2E74B5"/>
      <w:sz w:val="21"/>
      <w:szCs w:val="21"/>
    </w:rPr>
  </w:style>
  <w:style w:type="paragraph" w:styleId="Heading5">
    <w:name w:val="Heading 5"/>
    <w:basedOn w:val="Normal"/>
    <w:next w:val="Normal"/>
    <w:qFormat/>
    <w:rPr>
      <w:b/>
      <w:bCs/>
      <w:rFonts w:ascii="游ゴシック" w:hAnsi="游ゴシック" w:eastAsia="游ゴシック" w:cs="游ゴシック"/>
      <w:color w:val="2E74B5"/>
      <w:sz w:val="21"/>
      <w:szCs w:val="21"/>
    </w:rPr>
  </w:style>
  <w:style w:type="paragraph" w:styleId="Heading6">
    <w:name w:val="Heading 6"/>
    <w:basedOn w:val="Normal"/>
    <w:next w:val="Normal"/>
    <w:qFormat/>
    <w:rPr>
      <w:b/>
      <w:bCs/>
      <w:rFonts w:ascii="游ゴシック" w:hAnsi="游ゴシック" w:eastAsia="游ゴシック" w:cs="游ゴシック"/>
      <w:color w:val="1F4D78"/>
      <w:sz w:val="21"/>
      <w:szCs w:val="21"/>
    </w:rPr>
  </w:style>
  <w:style w:type="paragraph" w:styleId="Strong">
    <w:name w:val="Strong"/>
    <w:basedOn w:val="Normal"/>
    <w:next w:val="Normal"/>
    <w:qFormat/>
    <w:rPr>
      <w:rFonts w:ascii="游ゴシック" w:hAnsi="游ゴシック" w:eastAsia="游ゴシック" w:cs="游ゴシック"/>
      <w:b/>
      <w:bCs/>
    </w:rPr>
  </w:style>
  <w:style w:type="paragraph" w:styleId="ListParagraph">
    <w:name w:val="List Paragraph"/>
    <w:basedOn w:val="Normal"/>
    <w:qFormat/>
    <w:rPr>
      <w:rFonts w:ascii="游ゴシック" w:hAnsi="游ゴシック" w:eastAsia="游ゴシック" w:cs="游ゴシック"/>
    </w:rPr>
  </w:style>
  <w:style w:type="character" w:styleId="Hyperlink">
    <w:name w:val="Hyperlink"/>
    <w:basedOn w:val="DefaultParagraphFont"/>
    <w:uiPriority w:val="99"/>
    <w:unhideWhenUsed/>
    <w:rPr>
      <w:rFonts w:ascii="游ゴシック" w:hAnsi="游ゴシック" w:eastAsia="游ゴシック" w:cs="游ゴシック"/>
      <w:color w:val="0563C1"/>
      <w:u w:val="single"/>
    </w:rPr>
  </w:style>
  <w:style w:type="character" w:styleId="FootnoteReference">
    <w:name w:val="footnote reference"/>
    <w:basedOn w:val="DefaultParagraphFont"/>
    <w:uiPriority w:val="99"/>
    <w:semiHidden/>
    <w:unhideWhenUsed/>
    <w:rPr>
      <w:rFonts w:ascii="游ゴシック" w:hAnsi="游ゴシック" w:eastAsia="游ゴシック" w:cs="游ゴシック"/>
      <w:vertAlign w:val="superscript"/>
    </w:rPr>
  </w:style>
  <w:style w:type="paragraph" w:styleId="FootnoteText">
    <w:name w:val="footnote text"/>
    <w:basedOn w:val="Normal"/>
    <w:link w:val="FootnoteTextChar"/>
    <w:uiPriority w:val="99"/>
    <w:semiHidden/>
    <w:unhideWhenUsed/>
    <w:pPr>
      <w:spacing w:after="0" w:line="240" w:lineRule="auto"/>
    </w:pPr>
    <w:rPr>
      <w:rFonts w:ascii="游ゴシック" w:hAnsi="游ゴシック" w:eastAsia="游ゴシック" w:cs="游ゴシック"/>
      <w:sz w:val="20"/>
      <w:szCs w:val="20"/>
    </w:rPr>
  </w:style>
  <w:style w:type="character" w:styleId="FootnoteTextChar">
    <w:name w:val="Footnote Text Char"/>
    <w:basedOn w:val="DefaultParagraphFont"/>
    <w:link w:val="FootnoteText"/>
    <w:uiPriority w:val="99"/>
    <w:semiHidden/>
    <w:unhideWhenUsed/>
    <w:rPr>
      <w:rFonts w:ascii="游ゴシック" w:hAnsi="游ゴシック" w:eastAsia="游ゴシック" w:cs="游ゴシック"/>
      <w:sz w:val="20"/>
      <w:szCs w:val="20"/>
    </w:rPr>
  </w:style>
  <w:style w:type="character" w:styleId="EndnoteReference">
    <w:name w:val="endnote reference"/>
    <w:basedOn w:val="DefaultParagraphFont"/>
    <w:uiPriority w:val="99"/>
    <w:semiHidden/>
    <w:unhideWhenUsed/>
    <w:rPr>
      <w:rFonts w:ascii="游ゴシック" w:hAnsi="游ゴシック" w:eastAsia="游ゴシック" w:cs="游ゴシック"/>
      <w:vertAlign w:val="superscript"/>
    </w:rPr>
  </w:style>
  <w:style w:type="paragraph" w:styleId="EndnoteText">
    <w:name w:val="endnote text"/>
    <w:basedOn w:val="Normal"/>
    <w:link w:val="EndnoteTextChar"/>
    <w:uiPriority w:val="99"/>
    <w:semiHidden/>
    <w:unhideWhenUsed/>
    <w:pPr>
      <w:spacing w:after="0" w:line="240" w:lineRule="auto"/>
    </w:pPr>
    <w:rPr>
      <w:rFonts w:ascii="游ゴシック" w:hAnsi="游ゴシック" w:eastAsia="游ゴシック" w:cs="游ゴシック"/>
      <w:sz w:val="20"/>
      <w:szCs w:val="20"/>
    </w:rPr>
  </w:style>
  <w:style w:type="character" w:styleId="EndnoteTextChar">
    <w:name w:val="Endnote Text Char"/>
    <w:basedOn w:val="DefaultParagraphFont"/>
    <w:link w:val="EndnoteText"/>
    <w:uiPriority w:val="99"/>
    <w:semiHidden/>
    <w:unhideWhenUsed/>
    <w:rPr>
      <w:rFonts w:ascii="游ゴシック" w:hAnsi="游ゴシック" w:eastAsia="游ゴシック" w:cs="游ゴシック"/>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70418a61617a21e2d472e47e172e71f16ae9a3c.png"/><Relationship Id="rId10" Type="http://schemas.openxmlformats.org/officeDocument/2006/relationships/image" Target="media/3d908537ad6af085f924a88cd75159a469dfe3ae.png"/><Relationship Id="rId11" Type="http://schemas.openxmlformats.org/officeDocument/2006/relationships/image" Target="media/734ec60ebb12cf6936fb50f9ddeb2807bb5834b7.png"/><Relationship Id="rId12" Type="http://schemas.openxmlformats.org/officeDocument/2006/relationships/image" Target="media/5a962bfacd77afd36ebbbec2150668990cd47f90.png"/><Relationship Id="rId13" Type="http://schemas.openxmlformats.org/officeDocument/2006/relationships/image" Target="media/4f6b614b6ec81cf85ded5f1273a7644440d52e3e.png"/><Relationship Id="rId14" Type="http://schemas.openxmlformats.org/officeDocument/2006/relationships/image" Target="media/60135321dc38607023c12bbad6e739ab163ab04a.png"/><Relationship Id="rId15"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川崎町第10期介護保険事業計画 計画書素案v1.0</dc:title>
  <dc:creator>ビズアップ公共コンサルティング株式会社</dc:creator>
  <dc:description>川崎町高齢者保健福祉計画・第10期介護保険事業計画 計画書素案</dc:description>
  <cp:lastModifiedBy>Un-named</cp:lastModifiedBy>
  <cp:revision>1</cp:revision>
  <dcterms:created xsi:type="dcterms:W3CDTF">2026-06-29T06:49:34.837Z</dcterms:created>
  <dcterms:modified xsi:type="dcterms:W3CDTF">2026-06-29T06:49:34.837Z</dcterms:modified>
</cp:coreProperties>
</file>

<file path=docProps/custom.xml><?xml version="1.0" encoding="utf-8"?>
<Properties xmlns="http://schemas.openxmlformats.org/officeDocument/2006/custom-properties" xmlns:vt="http://schemas.openxmlformats.org/officeDocument/2006/docPropsVTypes"/>
</file>