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第二回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本日は、分析のご報告ではなく、第１０期計画の方向を「選択」していただくことが中心です。④の５件について、各選択肢の右端の欄に○をお付けください。</w:t>
            </w:r>
          </w:p>
        </w:tc>
      </w:tr>
    </w:tbl>
    <w:p w14:paraId="6F2EAAD1" w14:textId="77777777" w:rsidR="00AF4EBE" w:rsidRDefault="00AF4EBE" w:rsidP="00AF4EBE">
      <w:pPr>
        <w:pStyle w:val="a4"/>
      </w:pPr>
    </w:p>
    <w:p w14:paraId="6C5BF734" w14:textId="77777777" w:rsidR="00AF4EBE" w:rsidRDefault="00AF4EBE" w:rsidP="00AF4EBE">
      <w:pPr>
        <w:pStyle w:val="a4"/>
      </w:pPr>
    </w:p>
    <w:p w14:paraId="6F2EAAD1" w14:textId="77777777" w:rsidR="00AF4EBE" w:rsidRDefault="00AF4EBE" w:rsidP="00AF4EBE">
      <w:pPr>
        <w:pStyle w:val="a4"/>
        <w:jc w:val="center"/>
      </w:pPr>
      <w:r>
        <w:drawing>
          <wp:inline xmlns:a="http://schemas.openxmlformats.org/drawingml/2006/main" xmlns:pic="http://schemas.openxmlformats.org/drawingml/2006/picture">
            <wp:extent cx="5334000" cy="134328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343281"/>
                    </a:xfrm>
                    <a:prstGeom prst="rect"/>
                  </pic:spPr>
                </pic:pic>
              </a:graphicData>
            </a:graphic>
          </wp:inline>
        </w:drawing>
      </w:r>
    </w:p>
    <w:p w14:paraId="247A3C0C" w14:textId="77777777" w:rsidR="003F1968" w:rsidRPr="00AF4EBE" w:rsidRDefault="00000000">
      <w:pPr>
        <w:pageBreakBefore/>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策定委員会でご説明した内容のうち、次の５件を訂正いたします。誤った前提のままご議論いただくことのないよう、冒頭でお示しします。５件目は、第１回資料に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単身世帯の申込み率 約86.1％</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申込み済み69.4％／検討を含めて86.1％（n=36）</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水準の位置づけの認識</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月額6,508円と6,500円が混在</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算定表上の基準額が6,508円／第５段階の月額が6,500円（年78,000円÷12）</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計画書の法的根拠の記載</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３（追加調査）・選択４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訪問介護</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人材育成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行政からの呼びかけによる地域内での介護人材育成・資格取得の促進。中学・高校段階からの働きかけ</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基本理念</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現行理念は町の長期総合計画の基本理念の一つであり継承が適当（事務局）</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供給側の状況は、厚生労働省「介護サービス情報公表システム」により町内14の指定すべてについて把握しました（令和８年10月）。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に実施した２調査の結果報告書を確定しました。調査票の個票から全数の検算を行い（約6,400項目）、第１回でお示しした数値からの変更はありません。施設入所の検討状況の読み方と、在宅系サービスの利用の低さの解釈は、選択２・選択３でご説明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ニーズ調査結果報告書、在宅介護実態調査結果報告書（本編・資料編）</w:t>
            </w:r>
          </w:p>
        </w:tc>
      </w:tr>
      <w:tr w:rsidR="003F1968" w:rsidRPr="00AF4EBE" w14:paraId="6A757351" w14:textId="77777777" w:rsidTr="00AF4EBE">
        <w:trPr>
          <w:cantSplit/>
        </w:trPr>
        <w:tc>
          <w:tcPr>
            <w:tcW w:w="271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検算</w:t>
            </w:r>
          </w:p>
        </w:tc>
        <w:tc>
          <w:tcPr>
            <w:tcW w:w="698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個票（一般高齢者576件・認定者142件）から約6,400項目を再集計し、報告書の値との不一致は０件。χ²検定９件も再計算し完全に一致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該当件数が３件未満の層は表示せず、３件以上10件未満の層は割合を表示せず件数のみとする取扱いを３文書に統一</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＋6.8ポイント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働きながらの介護継続が「難しい」計</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17.2％</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25.6％</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介護が必要になった理由：骨折・転倒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14.3％（換算値）</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21.5％</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▲0.5ポイント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閉じこもりリスク（外出が週1回以下）</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30.4％</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xml:space="preserve">● 供給側の状況は、厚生労働省「介護サービス情報公表システム」により、町内14の指定すべてについて把握しました（令和８年10月）。 </w:t>
            </w:r>
            <w:r>
              <w:t>定員・在所者数・入所率・待機者数・職種別の従業者数・前年度の採用者数及び退職者数・指定の年月日・退所先が公表されています。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いずれの資料にもないものは４件です。 入所前の居所・経営の状況・町への要望・短期入所の稼働。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xml:space="preserve">※ 町内にあった軽費老人ホーム（定員70人）は、令和6年3月31日に廃止されました。 </w:t>
            </w:r>
            <w:r>
              <w:t>県の入所状況調では、入所者は令和5年4月1日13人→7月1日7人→10月1日0人（休止中）と減り、令和5年1月から9月までに退所した32人のうち28人は他の施設へ移られています（入院3人・在宅1人）。定員の70人が住まいを失ったものではありません。老人福祉法の施設であり、介護サービス情報公表システムには載りません。本町の住民の数と移られた先の内訳は、宮城県への廃止届の記載内容を確認してい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93.3％　待機者数は公表の項目にありません</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96.3％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医療機関6人・死亡3人・自宅等0人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医療機関1人・介護保険施設1人・死亡2人・自宅等0人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3492"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令和７年度（実績）</w:t>
            </w:r>
          </w:p>
        </w:tc>
        <w:tc>
          <w:tcPr>
            <w:tcW w:w="3104"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1,084,587千円</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１ユニット分の人員削減と職員数の減少の見込み（第１回のご意見）、訪問介護の従業者が常勤換算4.5人、入所・居住系の入所率96.0％（公表情報）、給付費の平坦化（▲0.8％）</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見込量確保の方策、介護人材の確保、事業所支援</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家族介護者が不在の在宅高齢者</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家族介護なし45.8％、うち56.9％が施設申込み済み、家族介護もサービスもない世帯50件（36.2％）。「単身世帯かつ家族介護なし」では24件中20件（83.3％）が申込み済み</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介護予防、リハビリテーション、重度化予防</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４</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移動・外出と社会参加</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自動車74.1％／路線バス5.4％、外出控え19.1％、参加意欲55.2％に対し企画・運営41.4％</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計画素案の６つの基本目標により体系化する（認知症施策を独立章とし、家族介護者支援・移動支援の再構築・広域医療連携を施策として立てる）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計画素案の基本目標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 高齢者が安心して暮らせるまちづくりの推進</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 高齢者が安心して暮らせる仕組みづくり</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町案は会食・敬老・生涯学習・シルバー人材を含む</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 地域支援事業の充実</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基本目標１・５・６に分散</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町案はサービス種別の一覧。素案は供給体制・人材確保を第７章に独立させる</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 地域マネジメントに関する事項</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第８章 地域マネジメントの推進</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広域医療連携・重層的支援体制・住所地特例への対応</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案にあって計画素案に記載のない事業が10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事務局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人材確保の見通しを踏まえ、縮小を織り込む（▲10人）</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5,959円（▲211円）</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町内にこれらの指定事業所がないことは、介護サービス情報公表システムにより確かめました（定期巡回・夜間対応・看護小規模多機能・小規模多機能・地域密着型通所介護・認知症対応型通所介護のいずれも０件）。ただし、利用が０件ではありません。 令和７年度には定期巡回・随時対応型訪問介護看護が月0.4人、看護小規模多機能型居宅介護が月0.2人の給付の実績があり、いずれも町外の事業所の利用によるものです。近隣市町村の指定事業所の有無は確認できておりません【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在宅系の地域密着型サービス（定期巡回・小規模多機能等）の整備を計画に位置付ける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＋154円（利用10人の場合）</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資格取得の支援（研修費補助・修学資金等）を町単独事業として実施する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基金の50％を取り崩す（残り76,250千円）</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6,143円（▲5.5％）</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上表は、令和７年度（完結年度）の介護保険事業状況報告（年報）を基礎として算定した値で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11期に基金を残せますが、住民負担が＋5.0％となります。Ｃは第９期を▲1,036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5,464円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6,888円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6,235円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5,714円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（参考）第９期</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7,207円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6,500円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保険料を動かす要因（算定Ｂ 6,143円を基準）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３％だった場合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＋274円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第１号被保険者負担割合が24％となった場合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▲246円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入所・居住系の利用者が10人増えた場合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▲211円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準備基金の取崩額を1,000万円増やした場合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交付金の交付見込額（３か年4,500千円）を見込んだ場合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▲40円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っ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町財政担当にご確認をお願い中</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国の決定による（令和9年1月頃）</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第10期の第１号被保険者負担割合（23％か24％か）</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保険者機能強化推進交付金等の交付見込額を保険料の算定に見込むか（令和７・８年度の交付額を含む）</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追加の予算措置は要しませんが、担当職員の時間と旅費を要します</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② 実施方法確定後に積算</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認知症サポーター養成講座への認知症の人の参画／本人発信支援・認知症希望大使の招請／認知症の人の社会参加の支援（農業・製造販売・食堂等）</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④ 一般財源又は補助事業を検討</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認知症ケアパスの作成・更新・周知</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介護予防・日常生活支援総合事業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23％（第２号27％・国25％・県12.5％・町12.5％）</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県事業・国庫補助事業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内訳は下の表）。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37点下がった内訳と県内の動き</w:t>
      </w:r>
      <w:r>
        <w:rPr>
          <w:rFonts w:ascii="BIZ UDPゴシック" w:eastAsia="BIZ UDPゴシック" w:hAnsi="BIZ UDPゴシック"/>
          <w:b/>
          <w:bCs/>
          <w:sz w:val="23"/>
          <w:szCs w:val="23"/>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37点の減少を、枝番の単位まで下ろし、各年度の配点に対する得点率で比べると、次の５つに分かれます。国が配点を下げただけの項目は、点が下がっても取組の後退ではありません。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増　減</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主な項目</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取り戻せるか</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成果指標群（アウトカム）</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短期的な要介護度の変化▲50点・健康寿命延伸の状況▲10点、長期的な要介護度の変化＋30点（推進・支援の両方に同じ点が入ります）</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要介護度の変化という成果によるもので、仕組みを整えるだけでは戻りません</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国の配点の改定</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認知症サポーター等を活用した地域支援体制の構築（25点満点→20点満点）ほか</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取組の後退ではありません（満点を維持）</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指標の新設</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介護予防・生活支援の体制整備（新設の枝番）</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取組の評価が下がった項目</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▲34点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評価結果の活用▲16点・給付費適正化事業の取組状況ア▲6点ほか4項目</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うち22点は仕組みを定めることで評価の対象となり得ます（下の失点の表）</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取組の評価が上がった項目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在宅医療・介護連携に関する課題・対応策の検討＋10点・地域包括支援センター事業評価の達成状況＋7点ほか5項目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565点 → 528点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同じ期間に、宮城県内35保険者の平均は令和７年度の418.9点から令和８年度の497.5点へ、１年で78.6点上がりました（全国平均の上昇は20.1点）。本町の県内順位が3位から8位になったのは、本町が37点下げたことに加え、県内が大きく上がったためです。県平均との差は146.1点から30.5点に縮まりました。交付額は、得点に第１号被保険者数を乗じた値で国の予算を按分して決まるため、他の保険者の得点が上がると、本町の得点が同じでも交付額は減ることがあります。令和６年度の本町の交付見込額は計3,738千円（うち激変緩和措置分1,231千円）です。令和７・８年度の交付額は確認中です。第10期の保険料の試算では交付金を見込んでいません（見込んだ場合の効きは６の表）。</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本町（全国順位）</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宮城県平均（本町の県内順位／35保険者）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令和６年度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454点（696位）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422.4点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379.7点（8位）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令和７年度</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565点（114位）</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435.0点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418.9点（3位）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令和８年度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528点（366位）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497.5点（8位）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体制・取組指標群（380点）</w:t>
              <w:br/>
              <w:t>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166位（上位9.5％）</w:t>
              <w:br/>
              <w:t>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21位（上位7.4％）</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活動指標群（220点）</w:t>
              <w:br/>
              <w:t>活動量がどれだけあるか</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95点（43.2％）</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514位（上位29.5％）</w:t>
              <w:br/>
              <w:t>平均83.3点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成果指標群（200点）</w:t>
              <w:br/>
              <w:t>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1,087位（下位37.6％）</w:t>
              <w:br/>
              <w:t>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176位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合計（800点）</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528点（66.0％）</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366位</w:t>
              <w:br/>
              <w:t>平均455.1点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にあります。とくに推進交付金 目標Ⅲ（介護人材の確保その他のサービス提供基盤の整備）の体制・取組指標群は64点満点で、全国で最も高い得点です（同じ64点の保険者は165団体）。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評価結果の活用（ア〜エ）</w:t>
              <w:br/>
              <w:t>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ア83.1％／イ64.4％</w:t>
              <w:br/>
              <w:t>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給付費適正化事業の取組状況 ア</w:t>
              <w:br/>
              <w:t>（３事業の全てを実施）</w:t>
              <w:br/>
              <w:t>推進交付金 目標Ⅱ</w:t>
            </w:r>
          </w:p>
        </w:tc>
        <w:tc>
          <w:tcPr>
            <w:tcW w:w="679"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6点</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96.9％</w:t>
              <w:br/>
              <w:t>（宮城県内91.4％）</w:t>
            </w:r>
          </w:p>
        </w:tc>
        <w:tc>
          <w:tcPr>
            <w:tcW w:w="485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認知症施策推進計画の策定に着手</w:t>
              <w:br/>
              <w:t>（カ）</w:t>
              <w:br/>
              <w:t>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42.8％</w:t>
              <w:br/>
              <w:t>（同規模かつ過疎30.9％）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322,680千円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91.2％</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地域密着型サービス（介護予防を含む）</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179,884千円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182,190千円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493,350千円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103.3％</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総給付費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1,011,020千円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998,220千円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が一致していることの内側で、在宅から施設・居住系への移行が進んでいます。居宅サービスが計画を下回ったのは、町内の在宅サービスの供給余力が乏しいこと（訪問介護の従業者は常勤換算4.5人）と、住所地特例24人（令和８年３月末）に表れる町外施設の利用の常態化が同時に進んだ結果と考えられます。第１０期のサービス見込量は、この移行を前提に置くかどうかで変わ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この対比は、保険者機能強化推進交付金 推進 目標Ⅰ（ⅱ）２「事業計画の進捗状況」（配点12点・本町は令和８年度０点）が求める分析に当たります。本日ご報告し、ご意見をいただくことが、そのまま要件を満たすことになります。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長期総合計画との関係を明記</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高齢者を取り巻く現状</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重点課題を５本に集約</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計画の基本理念・基本方針</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家族介護者への支援を新設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認知症施策の推進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新設（第１回のご意見）</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第８章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地域マネジメントの推進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必要利用定員総数（介護保険法第117条第2項第1号）を新設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第10章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計画の推進と進行管理</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第９期から継続か新規かを明示</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区分</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令和７年度又は令和８年度。出典を固定</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目標値</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保健福祉課、地域包括支援センター、社会福祉協議会 等</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集計方法・頻度</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17表・138事業）には、何をする事業なのかが分かるよう「内容」の欄を設けています。現在の計画素案は本文118頁で、資料編（見込13頁）を加えると計131頁となり、仕様書８の「100頁程度」を31頁上回ります。詳細な分析を別冊に移すことで、本文を106頁程度とする案を検討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現在の計画素案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118頁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131頁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＋31頁</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詳細な分析を別冊に移した場合（見込み）</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106頁程度</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119頁程度</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＋19頁程度</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仕様書８の「100頁程度」を本文のみと読む場合でも、別冊に移した後の本文は106頁程度であり、なお６頁程度の圧縮を要します。資料編13頁を含めるかどうかを含めてご判断をお願いします。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宮城県への事前協議の開始（介護保険法第117条第５項）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パブリックコメントの実施（30日間）。11月24日から35日で起こすと開始が12月29日に当たります。令和９年１月４日（月）開始とする案を併記します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第４回：計画書（案）・概要版（案）の確定。この回を置くと納期に間に合いません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令和９年３月15日</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計画書・概要版の納品（仕様書２・８）</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わないため、回数を全３回とすることについて、委託仕様書11（本仕様の定めのない事項は協議の上実施する）によりご協議をお願いし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回数のご判断をお願いします。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介護サービス情報公表システム等の公表資料により供給側を把握する整理についてのご意見（３）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交付金の評価結果のご報告（７）。ご報告し、ご意見をいただくことが「評価結果の活用」の要件となります</w:t>
      </w:r>
      <w:r>
        <w:rPr>
          <w:rFonts w:ascii="BIZ UDPゴシック" w:eastAsia="BIZ UDPゴシック" w:hAnsi="BIZ UDPゴシック"/>
          <w:sz w:val="22"/>
          <w:szCs w:val="22"/>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⑦　策定委員会の回数（全３回とするか全４回とするか）と、パブリックコメントの開始日のご選択（８）。納期に直接に効きます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